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11DA4" w14:textId="4C14D856" w:rsidR="008A36D1" w:rsidRPr="002B2DB9" w:rsidRDefault="002B2DB9">
      <w:pPr>
        <w:jc w:val="center"/>
        <w:rPr>
          <w:b/>
          <w:color w:val="000000"/>
          <w:sz w:val="32"/>
          <w:szCs w:val="32"/>
        </w:rPr>
      </w:pPr>
      <w:r w:rsidRPr="002B2DB9">
        <w:rPr>
          <w:b/>
          <w:color w:val="000000"/>
          <w:sz w:val="32"/>
          <w:szCs w:val="32"/>
        </w:rPr>
        <w:t>California Department of Forestry and Fire Protection</w:t>
      </w:r>
    </w:p>
    <w:p w14:paraId="56BC3442" w14:textId="77777777" w:rsidR="002B2DB9" w:rsidRDefault="002B2DB9">
      <w:pPr>
        <w:jc w:val="center"/>
        <w:rPr>
          <w:b/>
          <w:color w:val="000000"/>
        </w:rPr>
      </w:pPr>
    </w:p>
    <w:p w14:paraId="65FAF856" w14:textId="2B378C87" w:rsidR="002B2DB9" w:rsidRDefault="002B2DB9">
      <w:pPr>
        <w:jc w:val="center"/>
        <w:rPr>
          <w:b/>
          <w:color w:val="000000"/>
        </w:rPr>
      </w:pPr>
      <w:r w:rsidRPr="002B2DB9">
        <w:rPr>
          <w:b/>
          <w:noProof/>
          <w:color w:val="000000"/>
        </w:rPr>
        <w:drawing>
          <wp:inline distT="0" distB="0" distL="0" distR="0" wp14:anchorId="4E298C93" wp14:editId="24076E07">
            <wp:extent cx="628650" cy="813054"/>
            <wp:effectExtent l="0" t="0" r="0" b="6350"/>
            <wp:docPr id="1" name="Picture 1" descr="File:Logo of CAL FIRE.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go of CAL FIRE.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141" cy="821450"/>
                    </a:xfrm>
                    <a:prstGeom prst="rect">
                      <a:avLst/>
                    </a:prstGeom>
                    <a:noFill/>
                    <a:ln>
                      <a:noFill/>
                    </a:ln>
                  </pic:spPr>
                </pic:pic>
              </a:graphicData>
            </a:graphic>
          </wp:inline>
        </w:drawing>
      </w:r>
    </w:p>
    <w:p w14:paraId="1BCB1F2E" w14:textId="77777777" w:rsidR="008A36D1" w:rsidRDefault="008A36D1">
      <w:pPr>
        <w:jc w:val="center"/>
        <w:rPr>
          <w:sz w:val="22"/>
          <w:szCs w:val="22"/>
        </w:rPr>
      </w:pPr>
    </w:p>
    <w:p w14:paraId="5A77F243" w14:textId="77777777" w:rsidR="008A36D1" w:rsidRPr="003C2398" w:rsidRDefault="00CE1B1B">
      <w:pPr>
        <w:jc w:val="center"/>
        <w:rPr>
          <w:b/>
          <w:color w:val="000000"/>
        </w:rPr>
      </w:pPr>
      <w:r w:rsidRPr="003C2398">
        <w:rPr>
          <w:b/>
          <w:color w:val="000000"/>
        </w:rPr>
        <w:t>Request for Proposals for </w:t>
      </w:r>
    </w:p>
    <w:p w14:paraId="4695EA47" w14:textId="52E805F1" w:rsidR="008A36D1" w:rsidRDefault="00CE1B1B">
      <w:pPr>
        <w:jc w:val="center"/>
        <w:rPr>
          <w:sz w:val="22"/>
          <w:szCs w:val="22"/>
        </w:rPr>
      </w:pPr>
      <w:r w:rsidRPr="003C2398">
        <w:rPr>
          <w:b/>
          <w:color w:val="000000"/>
        </w:rPr>
        <w:t>FY 202</w:t>
      </w:r>
      <w:r w:rsidR="00EB1FCD">
        <w:rPr>
          <w:b/>
          <w:color w:val="000000"/>
        </w:rPr>
        <w:t>2</w:t>
      </w:r>
      <w:r w:rsidRPr="003C2398">
        <w:rPr>
          <w:b/>
          <w:color w:val="000000"/>
        </w:rPr>
        <w:t xml:space="preserve"> Landscape Scale Restoration Competitive Grant Program</w:t>
      </w:r>
      <w:r w:rsidRPr="003C2398">
        <w:rPr>
          <w:b/>
          <w:sz w:val="22"/>
          <w:szCs w:val="22"/>
        </w:rPr>
        <w:br/>
      </w:r>
    </w:p>
    <w:p w14:paraId="00497BE4" w14:textId="2426CC45" w:rsidR="008A36D1" w:rsidRDefault="00CE1B1B">
      <w:pPr>
        <w:rPr>
          <w:sz w:val="22"/>
          <w:szCs w:val="22"/>
        </w:rPr>
      </w:pPr>
      <w:r>
        <w:rPr>
          <w:b/>
          <w:color w:val="013F70"/>
        </w:rPr>
        <w:t>ABOUT LANDSCAPE SCALE RESTORATION</w:t>
      </w:r>
      <w:r>
        <w:rPr>
          <w:color w:val="000000"/>
        </w:rPr>
        <w:t xml:space="preserve"> </w:t>
      </w:r>
      <w:r>
        <w:rPr>
          <w:color w:val="000000"/>
          <w:sz w:val="11"/>
          <w:szCs w:val="11"/>
        </w:rPr>
        <w:br/>
        <w:t xml:space="preserve"> </w:t>
      </w:r>
      <w:r>
        <w:rPr>
          <w:color w:val="000000"/>
          <w:sz w:val="11"/>
          <w:szCs w:val="11"/>
        </w:rPr>
        <w:br/>
      </w:r>
      <w:r>
        <w:rPr>
          <w:sz w:val="22"/>
          <w:szCs w:val="22"/>
        </w:rPr>
        <w:t>The Landscape Scale Restoration (LSR) program provides USDA Forest Service State and Private Forestry (S&amp;PF) competitive grants focused on promoting collaborative, science-based restoration of priority forest landscapes and on furthering priorities identified in State Forest Action Plans. Proposals are now being accepted for the fiscal year (FY) 202</w:t>
      </w:r>
      <w:r w:rsidR="00EB1FCD">
        <w:rPr>
          <w:sz w:val="22"/>
          <w:szCs w:val="22"/>
        </w:rPr>
        <w:t>2</w:t>
      </w:r>
      <w:r>
        <w:rPr>
          <w:sz w:val="22"/>
          <w:szCs w:val="22"/>
        </w:rPr>
        <w:t xml:space="preserve"> cycle. </w:t>
      </w:r>
      <w:r>
        <w:rPr>
          <w:noProof/>
        </w:rPr>
        <mc:AlternateContent>
          <mc:Choice Requires="wpg">
            <w:drawing>
              <wp:anchor distT="0" distB="0" distL="114300" distR="114300" simplePos="0" relativeHeight="251658240" behindDoc="0" locked="0" layoutInCell="1" hidden="0" allowOverlap="1" wp14:anchorId="527B6E02" wp14:editId="6438137F">
                <wp:simplePos x="0" y="0"/>
                <wp:positionH relativeFrom="column">
                  <wp:posOffset>1</wp:posOffset>
                </wp:positionH>
                <wp:positionV relativeFrom="paragraph">
                  <wp:posOffset>203200</wp:posOffset>
                </wp:positionV>
                <wp:extent cx="6476365"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107818" y="3780000"/>
                          <a:ext cx="6476365" cy="0"/>
                        </a:xfrm>
                        <a:prstGeom prst="straightConnector1">
                          <a:avLst/>
                        </a:prstGeom>
                        <a:noFill/>
                        <a:ln w="12700" cap="flat" cmpd="sng">
                          <a:solidFill>
                            <a:srgbClr val="013F7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476365" cy="12700"/>
                <wp:effectExtent b="0" l="0" r="0" t="0"/>
                <wp:wrapNone/>
                <wp:docPr id="1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76365" cy="12700"/>
                        </a:xfrm>
                        <a:prstGeom prst="rect"/>
                        <a:ln/>
                      </pic:spPr>
                    </pic:pic>
                  </a:graphicData>
                </a:graphic>
              </wp:anchor>
            </w:drawing>
          </mc:Fallback>
        </mc:AlternateContent>
      </w:r>
    </w:p>
    <w:p w14:paraId="1E2281FE" w14:textId="77777777" w:rsidR="008A36D1" w:rsidRDefault="008A36D1">
      <w:pPr>
        <w:rPr>
          <w:sz w:val="22"/>
          <w:szCs w:val="22"/>
        </w:rPr>
      </w:pPr>
    </w:p>
    <w:p w14:paraId="2CE1AE8A" w14:textId="77777777" w:rsidR="008A36D1" w:rsidRDefault="00CE1B1B">
      <w:pPr>
        <w:rPr>
          <w:sz w:val="22"/>
          <w:szCs w:val="22"/>
        </w:rPr>
      </w:pPr>
      <w:r>
        <w:rPr>
          <w:sz w:val="22"/>
          <w:szCs w:val="22"/>
        </w:rPr>
        <w:t xml:space="preserve">LSR projects must be cross-boundary, include a combination of land ownerships, and prioritize funding towards one or more of the following objectives: </w:t>
      </w:r>
    </w:p>
    <w:p w14:paraId="68F1AE03" w14:textId="77777777" w:rsidR="008A36D1" w:rsidRDefault="00CE1B1B">
      <w:pPr>
        <w:rPr>
          <w:color w:val="000000"/>
          <w:sz w:val="22"/>
          <w:szCs w:val="22"/>
        </w:rPr>
      </w:pPr>
      <w:r>
        <w:rPr>
          <w:color w:val="000000"/>
          <w:sz w:val="22"/>
          <w:szCs w:val="22"/>
        </w:rPr>
        <w:t> </w:t>
      </w:r>
    </w:p>
    <w:p w14:paraId="1AAD86AE" w14:textId="77777777" w:rsidR="008A36D1" w:rsidRDefault="00CE1B1B">
      <w:pPr>
        <w:numPr>
          <w:ilvl w:val="0"/>
          <w:numId w:val="1"/>
        </w:numPr>
        <w:pBdr>
          <w:top w:val="nil"/>
          <w:left w:val="nil"/>
          <w:bottom w:val="nil"/>
          <w:right w:val="nil"/>
          <w:between w:val="nil"/>
        </w:pBdr>
        <w:rPr>
          <w:color w:val="000000"/>
          <w:sz w:val="22"/>
          <w:szCs w:val="22"/>
        </w:rPr>
      </w:pPr>
      <w:r>
        <w:rPr>
          <w:color w:val="000000"/>
          <w:sz w:val="22"/>
          <w:szCs w:val="22"/>
        </w:rPr>
        <w:t>Reduce the risk of uncharacteristic wildfires;</w:t>
      </w:r>
    </w:p>
    <w:p w14:paraId="0E146FAB" w14:textId="77777777" w:rsidR="008A36D1" w:rsidRDefault="00CE1B1B">
      <w:pPr>
        <w:numPr>
          <w:ilvl w:val="0"/>
          <w:numId w:val="1"/>
        </w:numPr>
        <w:pBdr>
          <w:top w:val="nil"/>
          <w:left w:val="nil"/>
          <w:bottom w:val="nil"/>
          <w:right w:val="nil"/>
          <w:between w:val="nil"/>
        </w:pBdr>
        <w:rPr>
          <w:color w:val="000000"/>
          <w:sz w:val="22"/>
          <w:szCs w:val="22"/>
        </w:rPr>
      </w:pPr>
      <w:r>
        <w:rPr>
          <w:color w:val="000000"/>
          <w:sz w:val="22"/>
          <w:szCs w:val="22"/>
        </w:rPr>
        <w:t>Improve fish and wildlife habitats, including those of threatened and endangered species;</w:t>
      </w:r>
    </w:p>
    <w:p w14:paraId="410CBE46" w14:textId="77777777" w:rsidR="008A36D1" w:rsidRDefault="00CE1B1B">
      <w:pPr>
        <w:numPr>
          <w:ilvl w:val="0"/>
          <w:numId w:val="1"/>
        </w:numPr>
        <w:pBdr>
          <w:top w:val="nil"/>
          <w:left w:val="nil"/>
          <w:bottom w:val="nil"/>
          <w:right w:val="nil"/>
          <w:between w:val="nil"/>
        </w:pBdr>
        <w:rPr>
          <w:color w:val="000000"/>
          <w:sz w:val="22"/>
          <w:szCs w:val="22"/>
        </w:rPr>
      </w:pPr>
      <w:r>
        <w:rPr>
          <w:color w:val="000000"/>
          <w:sz w:val="22"/>
          <w:szCs w:val="22"/>
        </w:rPr>
        <w:t>Maintain and improve water quality and watershed function;</w:t>
      </w:r>
    </w:p>
    <w:p w14:paraId="20EC6464" w14:textId="77777777" w:rsidR="008A36D1" w:rsidRDefault="00CE1B1B">
      <w:pPr>
        <w:numPr>
          <w:ilvl w:val="0"/>
          <w:numId w:val="1"/>
        </w:numPr>
        <w:pBdr>
          <w:top w:val="nil"/>
          <w:left w:val="nil"/>
          <w:bottom w:val="nil"/>
          <w:right w:val="nil"/>
          <w:between w:val="nil"/>
        </w:pBdr>
        <w:rPr>
          <w:color w:val="000000"/>
          <w:sz w:val="22"/>
          <w:szCs w:val="22"/>
        </w:rPr>
      </w:pPr>
      <w:r>
        <w:rPr>
          <w:color w:val="000000"/>
          <w:sz w:val="22"/>
          <w:szCs w:val="22"/>
        </w:rPr>
        <w:t>Mitigate invasive species, insect infestation, and disease;</w:t>
      </w:r>
    </w:p>
    <w:p w14:paraId="27D40574" w14:textId="77777777" w:rsidR="008A36D1" w:rsidRDefault="00CE1B1B">
      <w:pPr>
        <w:numPr>
          <w:ilvl w:val="0"/>
          <w:numId w:val="1"/>
        </w:numPr>
        <w:pBdr>
          <w:top w:val="nil"/>
          <w:left w:val="nil"/>
          <w:bottom w:val="nil"/>
          <w:right w:val="nil"/>
          <w:between w:val="nil"/>
        </w:pBdr>
        <w:rPr>
          <w:color w:val="000000"/>
          <w:sz w:val="22"/>
          <w:szCs w:val="22"/>
        </w:rPr>
      </w:pPr>
      <w:r>
        <w:rPr>
          <w:color w:val="000000"/>
          <w:sz w:val="22"/>
          <w:szCs w:val="22"/>
        </w:rPr>
        <w:t>Improve important forest ecosystems;</w:t>
      </w:r>
    </w:p>
    <w:p w14:paraId="0BE204AB" w14:textId="77777777" w:rsidR="008A36D1" w:rsidRDefault="00CE1B1B">
      <w:pPr>
        <w:numPr>
          <w:ilvl w:val="0"/>
          <w:numId w:val="1"/>
        </w:numPr>
        <w:pBdr>
          <w:top w:val="nil"/>
          <w:left w:val="nil"/>
          <w:bottom w:val="nil"/>
          <w:right w:val="nil"/>
          <w:between w:val="nil"/>
        </w:pBdr>
        <w:rPr>
          <w:color w:val="000000"/>
          <w:sz w:val="22"/>
          <w:szCs w:val="22"/>
        </w:rPr>
      </w:pPr>
      <w:r>
        <w:rPr>
          <w:color w:val="000000"/>
          <w:sz w:val="22"/>
          <w:szCs w:val="22"/>
        </w:rPr>
        <w:t>Measure ecological and economic benefits, including air quality, soil quality, and productivity. </w:t>
      </w:r>
    </w:p>
    <w:p w14:paraId="78D9B935" w14:textId="77777777" w:rsidR="008A36D1" w:rsidRDefault="008A36D1">
      <w:pPr>
        <w:rPr>
          <w:sz w:val="22"/>
          <w:szCs w:val="22"/>
        </w:rPr>
      </w:pPr>
    </w:p>
    <w:p w14:paraId="43B3312B" w14:textId="77777777" w:rsidR="003F7860" w:rsidRDefault="003F7860" w:rsidP="003F7860">
      <w:pPr>
        <w:rPr>
          <w:color w:val="013F70"/>
          <w:sz w:val="11"/>
          <w:szCs w:val="11"/>
        </w:rPr>
      </w:pPr>
      <w:r>
        <w:rPr>
          <w:b/>
          <w:color w:val="013F70"/>
        </w:rPr>
        <w:t>APPLICATION DETAIL</w:t>
      </w:r>
      <w:r>
        <w:rPr>
          <w:color w:val="013F70"/>
          <w:sz w:val="11"/>
          <w:szCs w:val="11"/>
        </w:rPr>
        <w:br/>
        <w:t xml:space="preserve"> </w:t>
      </w:r>
      <w:r>
        <w:rPr>
          <w:noProof/>
        </w:rPr>
        <mc:AlternateContent>
          <mc:Choice Requires="wps">
            <w:drawing>
              <wp:anchor distT="0" distB="0" distL="114300" distR="114300" simplePos="0" relativeHeight="251662336" behindDoc="0" locked="0" layoutInCell="1" hidden="0" allowOverlap="1" wp14:anchorId="4C72207A" wp14:editId="5154CAB3">
                <wp:simplePos x="0" y="0"/>
                <wp:positionH relativeFrom="column">
                  <wp:posOffset>12701</wp:posOffset>
                </wp:positionH>
                <wp:positionV relativeFrom="paragraph">
                  <wp:posOffset>190500</wp:posOffset>
                </wp:positionV>
                <wp:extent cx="6476365"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107818" y="3780000"/>
                          <a:ext cx="6476365" cy="0"/>
                        </a:xfrm>
                        <a:prstGeom prst="straightConnector1">
                          <a:avLst/>
                        </a:prstGeom>
                        <a:noFill/>
                        <a:ln w="12700" cap="flat" cmpd="sng">
                          <a:solidFill>
                            <a:srgbClr val="013F70"/>
                          </a:solidFill>
                          <a:prstDash val="solid"/>
                          <a:miter lim="800000"/>
                          <a:headEnd type="none" w="sm" len="sm"/>
                          <a:tailEnd type="none" w="sm" len="sm"/>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5CCB0A09" id="_x0000_t32" coordsize="21600,21600" o:spt="32" o:oned="t" path="m,l21600,21600e" filled="f">
                <v:path arrowok="t" fillok="f" o:connecttype="none"/>
                <o:lock v:ext="edit" shapetype="t"/>
              </v:shapetype>
              <v:shape id="Straight Arrow Connector 17" o:spid="_x0000_s1026" type="#_x0000_t32" style="position:absolute;margin-left:1pt;margin-top:15pt;width:509.9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Mk7gEAAM4DAAAOAAAAZHJzL2Uyb0RvYy54bWysU9uO2jAQfa/Uf7D8XpJAS1BEWFVQ+lK1&#10;SNt+gHGcxJJvmnEJ/H3HhmV7eai02jw4Y8/F55wZrx/O1rCTAtTetbyalZwpJ32n3dDyH9/371ac&#10;YRSuE8Y71fKLQv6weftmPYVGzf3oTaeAURGHzRRaPsYYmqJAOSorcOaDcuTsPVgRaQtD0YGYqLo1&#10;xbwsl8XkoQvgpUKk093VyTe5ft8rGb/1ParITMsJW8wr5PWY1mKzFs0AIoxa3mCIF6CwQju69F5q&#10;J6JgP0H/U8pqCR59H2fS28L3vZYqcyA2VfkXm8dRBJW5kDgY7jLh65WVX08HYLqj3tWcOWGpR48R&#10;hB7GyD4C+IltvXOkowdGIaTXFLChtK07wG2H4QCJ/LkHm/5Ei51bPq/KelXRAFxavqhXJX1XvdU5&#10;MkkBy/f1crH8wJmkiOwrnosEwPhZecuS0XK8gbqjqbLe4vQFI8GgxKeEhMD5vTYmN9c4NhG7eU23&#10;MyloxnojIpk2EGt0Q66D3ugu5aRshOG4NcBOIk1NtdjXT+D+CEsX7gSO17jsuvKzOtJQG21bnlnf&#10;aI9KdJ9cx+IlkMqO3gNP0NByZhS9HjIy4ii0+X8cMTaOiKd2XBuQrKPvLrkv+ZyGJktzG/A0lb/v&#10;c/bzM9z8AgAA//8DAFBLAwQUAAYACAAAACEAOiQE4uEAAAANAQAADwAAAGRycy9kb3ducmV2Lnht&#10;bEyPTU/DMAyG70j8h8hI3FiyIvHRNZ0mBoLDdmB8iGPWmLaicaokW9t/j3eCiy37kV+/b7EcXSeO&#10;GGLrScN8pkAgVd62VGt4f3u6ugMRkyFrOk+oYcIIy/L8rDC59QO94nGXasEiFHOjoUmpz6WMVYPO&#10;xJnvkZh9++BM4jHU0gYzsLjrZKbUjXSmJf7QmB4fGqx+dgenYb35fP6I282UDbdTWH2RD+HxRevL&#10;i3G94LJagEg4pr8LOGVg/1Cysb0/kI2i05BxnKThWnE/YZXN70HsecNEloX8n6L8BQAA//8DAFBL&#10;AQItABQABgAIAAAAIQC2gziS/gAAAOEBAAATAAAAAAAAAAAAAAAAAAAAAABbQ29udGVudF9UeXBl&#10;c10ueG1sUEsBAi0AFAAGAAgAAAAhADj9If/WAAAAlAEAAAsAAAAAAAAAAAAAAAAALwEAAF9yZWxz&#10;Ly5yZWxzUEsBAi0AFAAGAAgAAAAhABtbAyTuAQAAzgMAAA4AAAAAAAAAAAAAAAAALgIAAGRycy9l&#10;Mm9Eb2MueG1sUEsBAi0AFAAGAAgAAAAhADokBOLhAAAADQEAAA8AAAAAAAAAAAAAAAAASAQAAGRy&#10;cy9kb3ducmV2LnhtbFBLBQYAAAAABAAEAPMAAABWBQAAAAA=&#10;" strokecolor="#013f70" strokeweight="1pt">
                <v:stroke startarrowwidth="narrow" startarrowlength="short" endarrowwidth="narrow" endarrowlength="short" joinstyle="miter"/>
              </v:shape>
            </w:pict>
          </mc:Fallback>
        </mc:AlternateContent>
      </w:r>
    </w:p>
    <w:p w14:paraId="3485CE25" w14:textId="6D1FEDDA" w:rsidR="008A36D1" w:rsidRDefault="00CE1B1B">
      <w:pPr>
        <w:rPr>
          <w:sz w:val="22"/>
          <w:szCs w:val="22"/>
        </w:rPr>
      </w:pPr>
      <w:r>
        <w:rPr>
          <w:sz w:val="22"/>
          <w:szCs w:val="22"/>
        </w:rPr>
        <w:t xml:space="preserve">State forestry agencies may submit up to five applications per state. Units of local government, Tribes, non-profit organizations (defined as 501c3), and universities are eligible to submit applications and may do so by contacting their state forestry agency. The state forestry agency will determine which applications to submit. </w:t>
      </w:r>
      <w:r w:rsidR="00721B47">
        <w:rPr>
          <w:sz w:val="22"/>
          <w:szCs w:val="22"/>
        </w:rPr>
        <w:t xml:space="preserve">Federally Recognized </w:t>
      </w:r>
      <w:r>
        <w:rPr>
          <w:sz w:val="22"/>
          <w:szCs w:val="22"/>
        </w:rPr>
        <w:t>Tribes may alternatively choose to submit applications (up to two applications per state above and beyond the maximum of five allowed through the state forestry agency)</w:t>
      </w:r>
      <w:r w:rsidR="00721B47">
        <w:rPr>
          <w:sz w:val="22"/>
          <w:szCs w:val="22"/>
        </w:rPr>
        <w:t xml:space="preserve"> directly</w:t>
      </w:r>
      <w:r>
        <w:rPr>
          <w:sz w:val="22"/>
          <w:szCs w:val="22"/>
        </w:rPr>
        <w:t xml:space="preserve"> through the USDA Forest Service Region where the proposed project is located by contacting the relevant USDA Forest Service tribal relations or LSR staff person for that region. </w:t>
      </w:r>
      <w:r w:rsidR="00721B47">
        <w:rPr>
          <w:sz w:val="22"/>
          <w:szCs w:val="22"/>
        </w:rPr>
        <w:t xml:space="preserve">State Recognized Tribes </w:t>
      </w:r>
      <w:r w:rsidR="001E01C7">
        <w:rPr>
          <w:sz w:val="22"/>
          <w:szCs w:val="22"/>
        </w:rPr>
        <w:t>should</w:t>
      </w:r>
      <w:r w:rsidR="00721B47">
        <w:rPr>
          <w:sz w:val="22"/>
          <w:szCs w:val="22"/>
        </w:rPr>
        <w:t xml:space="preserve"> submit to CAL FIRE.</w:t>
      </w:r>
    </w:p>
    <w:p w14:paraId="0C424267" w14:textId="77777777" w:rsidR="008A36D1" w:rsidRDefault="008A36D1">
      <w:pPr>
        <w:rPr>
          <w:sz w:val="22"/>
          <w:szCs w:val="22"/>
        </w:rPr>
      </w:pPr>
    </w:p>
    <w:p w14:paraId="64FA1E8A" w14:textId="61E17911" w:rsidR="008A36D1" w:rsidRDefault="00CE1B1B">
      <w:pPr>
        <w:rPr>
          <w:sz w:val="22"/>
          <w:szCs w:val="22"/>
        </w:rPr>
      </w:pPr>
      <w:r>
        <w:rPr>
          <w:sz w:val="22"/>
          <w:szCs w:val="22"/>
        </w:rPr>
        <w:t xml:space="preserve">Project proposals may be submitted for any amount up to $300,000 each and are required to demonstrate a 1:1 match using only non-federal funds, unless a match waiver is acquired from the USDA Forest Service in advance of submitting the proposed project for consideration. Each state (including all applicant entities therein) is limited to no more than 15% of the total funds available for the West. </w:t>
      </w:r>
    </w:p>
    <w:p w14:paraId="21EE7877" w14:textId="5490274D" w:rsidR="00AB0B0B" w:rsidRDefault="00AB0B0B">
      <w:pPr>
        <w:rPr>
          <w:sz w:val="22"/>
          <w:szCs w:val="22"/>
        </w:rPr>
      </w:pPr>
    </w:p>
    <w:p w14:paraId="3940860C" w14:textId="3980BBC7" w:rsidR="00AB0B0B" w:rsidRDefault="00AB0B0B" w:rsidP="001556B1">
      <w:pPr>
        <w:rPr>
          <w:sz w:val="22"/>
          <w:szCs w:val="22"/>
        </w:rPr>
      </w:pPr>
      <w:r>
        <w:rPr>
          <w:sz w:val="22"/>
          <w:szCs w:val="22"/>
        </w:rPr>
        <w:t>Timeline:</w:t>
      </w:r>
      <w:r w:rsidR="00721B47">
        <w:rPr>
          <w:sz w:val="22"/>
          <w:szCs w:val="22"/>
        </w:rPr>
        <w:tab/>
        <w:t xml:space="preserve">Full </w:t>
      </w:r>
      <w:r>
        <w:rPr>
          <w:sz w:val="22"/>
          <w:szCs w:val="22"/>
        </w:rPr>
        <w:t>Proposal</w:t>
      </w:r>
      <w:r w:rsidR="00721B47">
        <w:rPr>
          <w:sz w:val="22"/>
          <w:szCs w:val="22"/>
        </w:rPr>
        <w:t>s</w:t>
      </w:r>
      <w:r>
        <w:rPr>
          <w:sz w:val="22"/>
          <w:szCs w:val="22"/>
        </w:rPr>
        <w:t xml:space="preserve"> are due on:</w:t>
      </w:r>
      <w:r w:rsidR="003C2398">
        <w:rPr>
          <w:sz w:val="22"/>
          <w:szCs w:val="22"/>
        </w:rPr>
        <w:tab/>
      </w:r>
      <w:r w:rsidR="003C2398">
        <w:rPr>
          <w:sz w:val="22"/>
          <w:szCs w:val="22"/>
        </w:rPr>
        <w:tab/>
      </w:r>
      <w:r w:rsidR="003C2398">
        <w:rPr>
          <w:sz w:val="22"/>
          <w:szCs w:val="22"/>
        </w:rPr>
        <w:tab/>
      </w:r>
      <w:r w:rsidR="003C2398">
        <w:rPr>
          <w:sz w:val="22"/>
          <w:szCs w:val="22"/>
        </w:rPr>
        <w:tab/>
      </w:r>
      <w:r w:rsidR="00721B47">
        <w:rPr>
          <w:sz w:val="22"/>
          <w:szCs w:val="22"/>
        </w:rPr>
        <w:tab/>
      </w:r>
      <w:r w:rsidR="00EB1FCD">
        <w:rPr>
          <w:sz w:val="22"/>
          <w:szCs w:val="22"/>
        </w:rPr>
        <w:t xml:space="preserve">October </w:t>
      </w:r>
      <w:r w:rsidR="003E0C4D">
        <w:rPr>
          <w:sz w:val="22"/>
          <w:szCs w:val="22"/>
        </w:rPr>
        <w:t>15</w:t>
      </w:r>
      <w:r w:rsidR="003C2398">
        <w:rPr>
          <w:sz w:val="22"/>
          <w:szCs w:val="22"/>
        </w:rPr>
        <w:t>, 202</w:t>
      </w:r>
      <w:r w:rsidR="00EB1FCD">
        <w:rPr>
          <w:sz w:val="22"/>
          <w:szCs w:val="22"/>
        </w:rPr>
        <w:t>1</w:t>
      </w:r>
    </w:p>
    <w:p w14:paraId="779D3D84" w14:textId="51F508C0" w:rsidR="00AB0B0B" w:rsidRDefault="00AB0B0B">
      <w:pPr>
        <w:rPr>
          <w:sz w:val="22"/>
          <w:szCs w:val="22"/>
        </w:rPr>
      </w:pPr>
      <w:r>
        <w:rPr>
          <w:sz w:val="22"/>
          <w:szCs w:val="22"/>
        </w:rPr>
        <w:tab/>
      </w:r>
      <w:r>
        <w:rPr>
          <w:sz w:val="22"/>
          <w:szCs w:val="22"/>
        </w:rPr>
        <w:tab/>
        <w:t>Cal Fire reviews the proposals and submits its choices on:</w:t>
      </w:r>
      <w:r w:rsidR="003C2398">
        <w:rPr>
          <w:sz w:val="22"/>
          <w:szCs w:val="22"/>
        </w:rPr>
        <w:tab/>
      </w:r>
      <w:r w:rsidR="00EB1FCD">
        <w:rPr>
          <w:sz w:val="22"/>
          <w:szCs w:val="22"/>
        </w:rPr>
        <w:t>October 29</w:t>
      </w:r>
      <w:r w:rsidR="003C2398">
        <w:rPr>
          <w:sz w:val="22"/>
          <w:szCs w:val="22"/>
        </w:rPr>
        <w:t>, 202</w:t>
      </w:r>
      <w:r w:rsidR="00EB1FCD">
        <w:rPr>
          <w:sz w:val="22"/>
          <w:szCs w:val="22"/>
        </w:rPr>
        <w:t>1</w:t>
      </w:r>
    </w:p>
    <w:p w14:paraId="6A728C04" w14:textId="77777777" w:rsidR="008A36D1" w:rsidRDefault="008A36D1">
      <w:pPr>
        <w:rPr>
          <w:sz w:val="22"/>
          <w:szCs w:val="22"/>
        </w:rPr>
      </w:pPr>
    </w:p>
    <w:p w14:paraId="0E344DCF" w14:textId="4A2CD049" w:rsidR="00AB0B0B" w:rsidRDefault="00721B47">
      <w:pPr>
        <w:rPr>
          <w:color w:val="000000"/>
          <w:sz w:val="22"/>
          <w:szCs w:val="22"/>
        </w:rPr>
      </w:pPr>
      <w:r>
        <w:rPr>
          <w:sz w:val="22"/>
          <w:szCs w:val="22"/>
        </w:rPr>
        <w:t>Consultative discussions with CAL FIRE or USFS can occur anytime up until the above due dates</w:t>
      </w:r>
    </w:p>
    <w:p w14:paraId="2DDAA9C5" w14:textId="12C31C2E" w:rsidR="002B2DB9" w:rsidRDefault="00CE1B1B">
      <w:pPr>
        <w:rPr>
          <w:color w:val="000000"/>
          <w:sz w:val="22"/>
          <w:szCs w:val="22"/>
        </w:rPr>
      </w:pPr>
      <w:r>
        <w:rPr>
          <w:color w:val="000000"/>
          <w:sz w:val="22"/>
          <w:szCs w:val="22"/>
        </w:rPr>
        <w:lastRenderedPageBreak/>
        <w:t xml:space="preserve">To </w:t>
      </w:r>
      <w:proofErr w:type="gramStart"/>
      <w:r>
        <w:rPr>
          <w:color w:val="000000"/>
          <w:sz w:val="22"/>
          <w:szCs w:val="22"/>
        </w:rPr>
        <w:t>submit an application</w:t>
      </w:r>
      <w:proofErr w:type="gramEnd"/>
      <w:r>
        <w:rPr>
          <w:color w:val="000000"/>
          <w:sz w:val="22"/>
          <w:szCs w:val="22"/>
        </w:rPr>
        <w:t xml:space="preserve"> for consideration as one of </w:t>
      </w:r>
      <w:r w:rsidR="002B2DB9">
        <w:rPr>
          <w:color w:val="000000"/>
          <w:sz w:val="22"/>
          <w:szCs w:val="22"/>
        </w:rPr>
        <w:t>California</w:t>
      </w:r>
      <w:r>
        <w:rPr>
          <w:color w:val="000000"/>
          <w:sz w:val="22"/>
          <w:szCs w:val="22"/>
        </w:rPr>
        <w:t>’s five proposals</w:t>
      </w:r>
      <w:r w:rsidR="00AB0B0B">
        <w:rPr>
          <w:color w:val="000000"/>
          <w:sz w:val="22"/>
          <w:szCs w:val="22"/>
        </w:rPr>
        <w:t xml:space="preserve"> or if you have any questions</w:t>
      </w:r>
      <w:r>
        <w:rPr>
          <w:color w:val="000000"/>
          <w:sz w:val="22"/>
          <w:szCs w:val="22"/>
        </w:rPr>
        <w:t xml:space="preserve">, please contact: </w:t>
      </w:r>
    </w:p>
    <w:p w14:paraId="0307097A" w14:textId="77777777" w:rsidR="00AB0B0B" w:rsidRDefault="00AB0B0B" w:rsidP="002B2DB9">
      <w:pPr>
        <w:ind w:left="720" w:firstLine="720"/>
        <w:rPr>
          <w:color w:val="000000"/>
          <w:sz w:val="22"/>
          <w:szCs w:val="22"/>
        </w:rPr>
      </w:pPr>
    </w:p>
    <w:p w14:paraId="418CE90C" w14:textId="621CB98C" w:rsidR="002B2DB9" w:rsidRDefault="002B2DB9" w:rsidP="002B2DB9">
      <w:pPr>
        <w:ind w:left="720" w:firstLine="720"/>
        <w:rPr>
          <w:color w:val="000000"/>
          <w:sz w:val="22"/>
          <w:szCs w:val="22"/>
        </w:rPr>
      </w:pPr>
      <w:r>
        <w:rPr>
          <w:color w:val="000000"/>
          <w:sz w:val="22"/>
          <w:szCs w:val="22"/>
        </w:rPr>
        <w:t>Tom Smith</w:t>
      </w:r>
    </w:p>
    <w:p w14:paraId="47726745" w14:textId="55D54F3E" w:rsidR="008A36D1" w:rsidRDefault="002B2DB9" w:rsidP="002B2DB9">
      <w:pPr>
        <w:ind w:left="720" w:firstLine="720"/>
        <w:rPr>
          <w:color w:val="000000"/>
          <w:sz w:val="22"/>
          <w:szCs w:val="22"/>
        </w:rPr>
      </w:pPr>
      <w:r>
        <w:rPr>
          <w:color w:val="000000"/>
          <w:sz w:val="22"/>
          <w:szCs w:val="22"/>
        </w:rPr>
        <w:t>Forest Pest Management Specialist</w:t>
      </w:r>
    </w:p>
    <w:p w14:paraId="734DEE36" w14:textId="20957DCC" w:rsidR="002B2DB9" w:rsidRDefault="002B2DB9" w:rsidP="002B2DB9">
      <w:pPr>
        <w:ind w:left="720" w:firstLine="720"/>
        <w:rPr>
          <w:color w:val="000000"/>
          <w:sz w:val="22"/>
          <w:szCs w:val="22"/>
        </w:rPr>
      </w:pPr>
      <w:r>
        <w:rPr>
          <w:color w:val="000000"/>
          <w:sz w:val="22"/>
          <w:szCs w:val="22"/>
        </w:rPr>
        <w:t>California Department of Forestry and Fire Protection</w:t>
      </w:r>
    </w:p>
    <w:p w14:paraId="2207C644" w14:textId="0444A5E5" w:rsidR="002B2DB9" w:rsidRDefault="00EB1FCD" w:rsidP="002B2DB9">
      <w:pPr>
        <w:ind w:left="720" w:firstLine="720"/>
        <w:rPr>
          <w:color w:val="000000"/>
          <w:sz w:val="22"/>
          <w:szCs w:val="22"/>
        </w:rPr>
      </w:pPr>
      <w:r>
        <w:rPr>
          <w:color w:val="000000"/>
          <w:sz w:val="22"/>
          <w:szCs w:val="22"/>
        </w:rPr>
        <w:t>715 P</w:t>
      </w:r>
      <w:r w:rsidR="002B2DB9">
        <w:rPr>
          <w:color w:val="000000"/>
          <w:sz w:val="22"/>
          <w:szCs w:val="22"/>
        </w:rPr>
        <w:t xml:space="preserve"> Street</w:t>
      </w:r>
    </w:p>
    <w:p w14:paraId="4F6F4E9B" w14:textId="5605C13F" w:rsidR="002B2DB9" w:rsidRDefault="002B2DB9" w:rsidP="002B2DB9">
      <w:pPr>
        <w:ind w:left="720" w:firstLine="720"/>
        <w:rPr>
          <w:color w:val="000000"/>
          <w:sz w:val="22"/>
          <w:szCs w:val="22"/>
        </w:rPr>
      </w:pPr>
      <w:r>
        <w:rPr>
          <w:color w:val="000000"/>
          <w:sz w:val="22"/>
          <w:szCs w:val="22"/>
        </w:rPr>
        <w:t>P.O. Box 944246</w:t>
      </w:r>
    </w:p>
    <w:p w14:paraId="35D37703" w14:textId="542E150D" w:rsidR="002B2DB9" w:rsidRDefault="002B2DB9" w:rsidP="002B2DB9">
      <w:pPr>
        <w:ind w:left="720" w:firstLine="720"/>
        <w:rPr>
          <w:color w:val="000000"/>
          <w:sz w:val="22"/>
          <w:szCs w:val="22"/>
        </w:rPr>
      </w:pPr>
      <w:r>
        <w:rPr>
          <w:color w:val="000000"/>
          <w:sz w:val="22"/>
          <w:szCs w:val="22"/>
        </w:rPr>
        <w:t>Sacramento, CA  94244-2460</w:t>
      </w:r>
    </w:p>
    <w:p w14:paraId="06EA6DDD" w14:textId="2E44EE19" w:rsidR="002B2DB9" w:rsidRDefault="002B2DB9" w:rsidP="002B2DB9">
      <w:pPr>
        <w:ind w:left="720" w:firstLine="720"/>
        <w:rPr>
          <w:color w:val="000000"/>
          <w:sz w:val="22"/>
          <w:szCs w:val="22"/>
        </w:rPr>
      </w:pPr>
      <w:r>
        <w:rPr>
          <w:color w:val="000000"/>
          <w:sz w:val="22"/>
          <w:szCs w:val="22"/>
        </w:rPr>
        <w:t>916-599-6882</w:t>
      </w:r>
    </w:p>
    <w:p w14:paraId="256F03D5" w14:textId="439A7798" w:rsidR="002B2DB9" w:rsidRDefault="00EC753A" w:rsidP="002B2DB9">
      <w:pPr>
        <w:ind w:left="720" w:firstLine="720"/>
        <w:rPr>
          <w:color w:val="000000"/>
          <w:sz w:val="22"/>
          <w:szCs w:val="22"/>
        </w:rPr>
      </w:pPr>
      <w:hyperlink r:id="rId10" w:history="1">
        <w:r w:rsidR="002B2DB9">
          <w:rPr>
            <w:rStyle w:val="Hyperlink"/>
            <w:sz w:val="22"/>
            <w:szCs w:val="22"/>
          </w:rPr>
          <w:t>t</w:t>
        </w:r>
        <w:r w:rsidR="002B2DB9" w:rsidRPr="000E326C">
          <w:rPr>
            <w:rStyle w:val="Hyperlink"/>
            <w:sz w:val="22"/>
            <w:szCs w:val="22"/>
          </w:rPr>
          <w:t>om.smith@fire.ca.gov</w:t>
        </w:r>
      </w:hyperlink>
    </w:p>
    <w:p w14:paraId="2561E399" w14:textId="77777777" w:rsidR="002B2DB9" w:rsidRDefault="002B2DB9" w:rsidP="00AA6C0A">
      <w:pPr>
        <w:rPr>
          <w:sz w:val="22"/>
          <w:szCs w:val="22"/>
        </w:rPr>
      </w:pPr>
    </w:p>
    <w:p w14:paraId="3EC41BD5" w14:textId="50E7B672" w:rsidR="00721B47" w:rsidRDefault="00721B47" w:rsidP="00AA6C0A">
      <w:pPr>
        <w:rPr>
          <w:sz w:val="22"/>
          <w:szCs w:val="22"/>
        </w:rPr>
      </w:pPr>
      <w:r>
        <w:rPr>
          <w:sz w:val="22"/>
          <w:szCs w:val="22"/>
        </w:rPr>
        <w:t>Federally Recognized Tribes that prefer to submit directly to USFS as one of California’s two Tribal proposals please contact:</w:t>
      </w:r>
    </w:p>
    <w:p w14:paraId="1A800F6F" w14:textId="6201FB8A" w:rsidR="00EB1FCD" w:rsidRDefault="00EB1FCD" w:rsidP="00EB1FCD">
      <w:pPr>
        <w:ind w:left="720" w:firstLine="720"/>
        <w:rPr>
          <w:color w:val="000000"/>
          <w:sz w:val="22"/>
          <w:szCs w:val="22"/>
        </w:rPr>
      </w:pPr>
      <w:r>
        <w:rPr>
          <w:color w:val="000000"/>
          <w:sz w:val="22"/>
          <w:szCs w:val="22"/>
        </w:rPr>
        <w:t>Stacey Clark</w:t>
      </w:r>
    </w:p>
    <w:p w14:paraId="011BC8A9" w14:textId="1467A2D0" w:rsidR="00EB1FCD" w:rsidRDefault="00EB1FCD" w:rsidP="00EB1FCD">
      <w:pPr>
        <w:ind w:left="720" w:firstLine="720"/>
        <w:rPr>
          <w:color w:val="000000"/>
          <w:sz w:val="22"/>
          <w:szCs w:val="22"/>
        </w:rPr>
      </w:pPr>
      <w:r>
        <w:rPr>
          <w:color w:val="000000"/>
          <w:sz w:val="22"/>
          <w:szCs w:val="22"/>
        </w:rPr>
        <w:t>USFS Region 5 LSR Coordinator</w:t>
      </w:r>
    </w:p>
    <w:p w14:paraId="208827E9" w14:textId="553F41F0" w:rsidR="00EB1FCD" w:rsidRPr="00EB1FCD" w:rsidRDefault="00EB1FCD" w:rsidP="00EB1FCD">
      <w:pPr>
        <w:ind w:left="720" w:firstLine="720"/>
        <w:rPr>
          <w:color w:val="000000"/>
          <w:sz w:val="22"/>
          <w:szCs w:val="22"/>
        </w:rPr>
      </w:pPr>
      <w:r>
        <w:rPr>
          <w:color w:val="000000"/>
          <w:sz w:val="22"/>
          <w:szCs w:val="22"/>
        </w:rPr>
        <w:t xml:space="preserve">(office): </w:t>
      </w:r>
      <w:r w:rsidRPr="00EB1FCD">
        <w:rPr>
          <w:color w:val="000000"/>
          <w:sz w:val="22"/>
          <w:szCs w:val="22"/>
        </w:rPr>
        <w:t xml:space="preserve">707-562-8916 </w:t>
      </w:r>
    </w:p>
    <w:p w14:paraId="226FD3C3" w14:textId="77777777" w:rsidR="00EB1FCD" w:rsidRPr="00EB1FCD" w:rsidRDefault="00EB1FCD" w:rsidP="00EB1FCD">
      <w:pPr>
        <w:ind w:left="720" w:firstLine="720"/>
        <w:rPr>
          <w:color w:val="000000"/>
          <w:sz w:val="22"/>
          <w:szCs w:val="22"/>
        </w:rPr>
      </w:pPr>
      <w:r w:rsidRPr="00EB1FCD">
        <w:rPr>
          <w:color w:val="000000"/>
          <w:sz w:val="22"/>
          <w:szCs w:val="22"/>
        </w:rPr>
        <w:t>(cell): 707-980-9010</w:t>
      </w:r>
    </w:p>
    <w:p w14:paraId="3FBC0F46" w14:textId="3801DC1E" w:rsidR="00721B47" w:rsidRDefault="00EB1FCD" w:rsidP="00EB1FCD">
      <w:pPr>
        <w:ind w:left="720" w:firstLine="720"/>
        <w:rPr>
          <w:color w:val="000000"/>
          <w:sz w:val="22"/>
          <w:szCs w:val="22"/>
        </w:rPr>
      </w:pPr>
      <w:r w:rsidRPr="00EB1FCD">
        <w:rPr>
          <w:color w:val="000000"/>
          <w:sz w:val="22"/>
          <w:szCs w:val="22"/>
        </w:rPr>
        <w:t>stacey.clark@usda.gov</w:t>
      </w:r>
    </w:p>
    <w:p w14:paraId="2CA2D8A8" w14:textId="5D85FE4C" w:rsidR="00721B47" w:rsidRDefault="00721B47" w:rsidP="00721B47">
      <w:pPr>
        <w:ind w:left="720" w:firstLine="720"/>
        <w:rPr>
          <w:color w:val="000000"/>
          <w:sz w:val="22"/>
          <w:szCs w:val="22"/>
        </w:rPr>
      </w:pPr>
    </w:p>
    <w:p w14:paraId="73E1005E" w14:textId="7BCC501D" w:rsidR="00721B47" w:rsidRDefault="00721B47" w:rsidP="00721B47">
      <w:pPr>
        <w:ind w:left="720" w:firstLine="720"/>
        <w:rPr>
          <w:color w:val="000000"/>
          <w:sz w:val="22"/>
          <w:szCs w:val="22"/>
        </w:rPr>
      </w:pPr>
    </w:p>
    <w:p w14:paraId="30C646EB" w14:textId="1189795F" w:rsidR="00721B47" w:rsidRDefault="00721B47" w:rsidP="00721B47">
      <w:pPr>
        <w:ind w:left="720" w:firstLine="720"/>
        <w:rPr>
          <w:color w:val="000000"/>
          <w:sz w:val="22"/>
          <w:szCs w:val="22"/>
        </w:rPr>
      </w:pPr>
      <w:r>
        <w:rPr>
          <w:color w:val="000000"/>
          <w:sz w:val="22"/>
          <w:szCs w:val="22"/>
        </w:rPr>
        <w:t xml:space="preserve"> </w:t>
      </w:r>
    </w:p>
    <w:p w14:paraId="676416F1" w14:textId="77777777" w:rsidR="00721B47" w:rsidRDefault="00721B47" w:rsidP="00AA6C0A">
      <w:pPr>
        <w:rPr>
          <w:sz w:val="22"/>
          <w:szCs w:val="22"/>
        </w:rPr>
      </w:pPr>
    </w:p>
    <w:p w14:paraId="0AF0988A" w14:textId="01BE15BD" w:rsidR="008A36D1" w:rsidRDefault="003E0C4D">
      <w:pPr>
        <w:rPr>
          <w:sz w:val="22"/>
          <w:szCs w:val="22"/>
        </w:rPr>
      </w:pPr>
      <w:r>
        <w:rPr>
          <w:sz w:val="22"/>
          <w:szCs w:val="22"/>
        </w:rPr>
        <w:t>Stacey Clark</w:t>
      </w:r>
      <w:r w:rsidR="00721B47">
        <w:rPr>
          <w:sz w:val="22"/>
          <w:szCs w:val="22"/>
        </w:rPr>
        <w:t xml:space="preserve"> is currently the USFS Region 5 representative on the national selection committee and is available to review any applications to strengthen their competitiveness against the selection criteria prior to final state level submission on </w:t>
      </w:r>
      <w:r w:rsidR="00EB1FCD">
        <w:rPr>
          <w:sz w:val="22"/>
          <w:szCs w:val="22"/>
        </w:rPr>
        <w:t xml:space="preserve">October </w:t>
      </w:r>
      <w:r>
        <w:rPr>
          <w:sz w:val="22"/>
          <w:szCs w:val="22"/>
        </w:rPr>
        <w:t>15</w:t>
      </w:r>
      <w:r w:rsidR="00721B47">
        <w:rPr>
          <w:sz w:val="22"/>
          <w:szCs w:val="22"/>
        </w:rPr>
        <w:t>.</w:t>
      </w:r>
    </w:p>
    <w:p w14:paraId="73EF55D0" w14:textId="77777777" w:rsidR="00721B47" w:rsidRDefault="00721B47">
      <w:pPr>
        <w:rPr>
          <w:sz w:val="22"/>
          <w:szCs w:val="22"/>
        </w:rPr>
      </w:pPr>
    </w:p>
    <w:p w14:paraId="4B188AC6" w14:textId="45F63FF1" w:rsidR="008A36D1" w:rsidRDefault="00CE1B1B">
      <w:pPr>
        <w:rPr>
          <w:sz w:val="22"/>
          <w:szCs w:val="22"/>
        </w:rPr>
      </w:pPr>
      <w:r>
        <w:rPr>
          <w:b/>
          <w:color w:val="013F70"/>
        </w:rPr>
        <w:t>MORE INFORMATION</w:t>
      </w:r>
      <w:r>
        <w:rPr>
          <w:color w:val="000000"/>
          <w:sz w:val="11"/>
          <w:szCs w:val="11"/>
        </w:rPr>
        <w:br/>
        <w:t xml:space="preserve"> </w:t>
      </w:r>
      <w:r>
        <w:rPr>
          <w:color w:val="000000"/>
          <w:sz w:val="11"/>
          <w:szCs w:val="11"/>
        </w:rPr>
        <w:br/>
      </w:r>
      <w:r>
        <w:rPr>
          <w:color w:val="000000"/>
          <w:sz w:val="22"/>
          <w:szCs w:val="22"/>
        </w:rPr>
        <w:t>For more information on LSR, including the FY 202</w:t>
      </w:r>
      <w:r w:rsidR="00EB1FCD">
        <w:rPr>
          <w:color w:val="000000"/>
          <w:sz w:val="22"/>
          <w:szCs w:val="22"/>
        </w:rPr>
        <w:t>2</w:t>
      </w:r>
      <w:r>
        <w:rPr>
          <w:color w:val="000000"/>
          <w:sz w:val="22"/>
          <w:szCs w:val="22"/>
        </w:rPr>
        <w:t xml:space="preserve"> </w:t>
      </w:r>
      <w:hyperlink r:id="rId11" w:history="1">
        <w:r w:rsidR="006802B2" w:rsidRPr="005C364B">
          <w:rPr>
            <w:rStyle w:val="Hyperlink"/>
            <w:color w:val="4472C4" w:themeColor="accent1"/>
            <w:sz w:val="22"/>
            <w:szCs w:val="22"/>
          </w:rPr>
          <w:t>National Guidance</w:t>
        </w:r>
      </w:hyperlink>
      <w:r>
        <w:rPr>
          <w:color w:val="000000"/>
          <w:sz w:val="22"/>
          <w:szCs w:val="22"/>
        </w:rPr>
        <w:t xml:space="preserve"> and Western Guidance documents outlining the full requirements, please visit </w:t>
      </w:r>
      <w:hyperlink r:id="rId12">
        <w:r>
          <w:rPr>
            <w:color w:val="1155CC"/>
            <w:sz w:val="22"/>
            <w:szCs w:val="22"/>
            <w:u w:val="single"/>
          </w:rPr>
          <w:t>this website</w:t>
        </w:r>
      </w:hyperlink>
      <w:r>
        <w:rPr>
          <w:color w:val="000000"/>
          <w:sz w:val="22"/>
          <w:szCs w:val="22"/>
        </w:rPr>
        <w:t>. The website also contains the LSR application worksheet, which can be used to ensure you provide all necessary information to the state forestry agency for submission. For examples of projects funded in previous years</w:t>
      </w:r>
      <w:r w:rsidR="005C364B">
        <w:rPr>
          <w:color w:val="000000"/>
          <w:sz w:val="22"/>
          <w:szCs w:val="22"/>
        </w:rPr>
        <w:t xml:space="preserve"> and other questions</w:t>
      </w:r>
      <w:r>
        <w:rPr>
          <w:color w:val="000000"/>
          <w:sz w:val="22"/>
          <w:szCs w:val="22"/>
        </w:rPr>
        <w:t>, please see:</w:t>
      </w:r>
      <w:r>
        <w:rPr>
          <w:noProof/>
        </w:rPr>
        <mc:AlternateContent>
          <mc:Choice Requires="wpg">
            <w:drawing>
              <wp:anchor distT="0" distB="0" distL="114300" distR="114300" simplePos="0" relativeHeight="251660288" behindDoc="0" locked="0" layoutInCell="1" hidden="0" allowOverlap="1" wp14:anchorId="6A0829E5" wp14:editId="563C2C81">
                <wp:simplePos x="0" y="0"/>
                <wp:positionH relativeFrom="column">
                  <wp:posOffset>12701</wp:posOffset>
                </wp:positionH>
                <wp:positionV relativeFrom="paragraph">
                  <wp:posOffset>203200</wp:posOffset>
                </wp:positionV>
                <wp:extent cx="6476365"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107818" y="3780000"/>
                          <a:ext cx="6476365" cy="0"/>
                        </a:xfrm>
                        <a:prstGeom prst="straightConnector1">
                          <a:avLst/>
                        </a:prstGeom>
                        <a:noFill/>
                        <a:ln w="12700" cap="flat" cmpd="sng">
                          <a:solidFill>
                            <a:srgbClr val="013F7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6476365" cy="12700"/>
                <wp:effectExtent b="0" l="0" r="0" t="0"/>
                <wp:wrapNone/>
                <wp:docPr id="15"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6476365" cy="12700"/>
                        </a:xfrm>
                        <a:prstGeom prst="rect"/>
                        <a:ln/>
                      </pic:spPr>
                    </pic:pic>
                  </a:graphicData>
                </a:graphic>
              </wp:anchor>
            </w:drawing>
          </mc:Fallback>
        </mc:AlternateContent>
      </w:r>
      <w:r w:rsidR="000D2461">
        <w:rPr>
          <w:color w:val="000000"/>
          <w:sz w:val="22"/>
          <w:szCs w:val="22"/>
        </w:rPr>
        <w:t xml:space="preserve">  </w:t>
      </w:r>
      <w:hyperlink r:id="rId16" w:history="1">
        <w:r w:rsidR="003E0C4D" w:rsidRPr="003E0C4D">
          <w:rPr>
            <w:rStyle w:val="Hyperlink"/>
            <w:sz w:val="22"/>
            <w:szCs w:val="22"/>
          </w:rPr>
          <w:t>forestryg</w:t>
        </w:r>
        <w:bookmarkStart w:id="0" w:name="_GoBack"/>
        <w:bookmarkEnd w:id="0"/>
        <w:r w:rsidR="003E0C4D" w:rsidRPr="003E0C4D">
          <w:rPr>
            <w:rStyle w:val="Hyperlink"/>
            <w:sz w:val="22"/>
            <w:szCs w:val="22"/>
          </w:rPr>
          <w:t>r</w:t>
        </w:r>
        <w:r w:rsidR="003E0C4D" w:rsidRPr="003E0C4D">
          <w:rPr>
            <w:rStyle w:val="Hyperlink"/>
            <w:sz w:val="22"/>
            <w:szCs w:val="22"/>
          </w:rPr>
          <w:t>ants.org</w:t>
        </w:r>
      </w:hyperlink>
      <w:r w:rsidR="003E0C4D" w:rsidDel="003E0C4D">
        <w:t xml:space="preserve"> </w:t>
      </w:r>
    </w:p>
    <w:p w14:paraId="0790A0F4" w14:textId="77777777" w:rsidR="008A36D1" w:rsidRDefault="008A36D1"/>
    <w:sectPr w:rsidR="008A36D1">
      <w:headerReference w:type="default" r:id="rId17"/>
      <w:footerReference w:type="default" r:id="rId18"/>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780EF" w14:textId="77777777" w:rsidR="00EC753A" w:rsidRDefault="00EC753A">
      <w:r>
        <w:separator/>
      </w:r>
    </w:p>
  </w:endnote>
  <w:endnote w:type="continuationSeparator" w:id="0">
    <w:p w14:paraId="63ED76BE" w14:textId="77777777" w:rsidR="00EC753A" w:rsidRDefault="00EC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8B898" w14:textId="77777777" w:rsidR="008A36D1" w:rsidRDefault="00EE6B42">
    <w:pPr>
      <w:pBdr>
        <w:top w:val="nil"/>
        <w:left w:val="nil"/>
        <w:bottom w:val="nil"/>
        <w:right w:val="nil"/>
        <w:between w:val="nil"/>
      </w:pBdr>
      <w:tabs>
        <w:tab w:val="center" w:pos="4680"/>
        <w:tab w:val="right" w:pos="9360"/>
      </w:tabs>
      <w:rPr>
        <w:color w:val="000000"/>
      </w:rPr>
    </w:pPr>
    <w:r>
      <w:rPr>
        <w:b/>
        <w:noProof/>
      </w:rPr>
      <mc:AlternateContent>
        <mc:Choice Requires="wps">
          <w:drawing>
            <wp:anchor distT="0" distB="0" distL="114300" distR="114300" simplePos="0" relativeHeight="251665408" behindDoc="0" locked="0" layoutInCell="1" allowOverlap="1" wp14:anchorId="2C60D0CF" wp14:editId="193770FD">
              <wp:simplePos x="0" y="0"/>
              <wp:positionH relativeFrom="column">
                <wp:posOffset>0</wp:posOffset>
              </wp:positionH>
              <wp:positionV relativeFrom="paragraph">
                <wp:posOffset>88900</wp:posOffset>
              </wp:positionV>
              <wp:extent cx="6599976" cy="0"/>
              <wp:effectExtent l="0" t="88900" r="42545" b="101600"/>
              <wp:wrapNone/>
              <wp:docPr id="9" name="Straight Connector 9"/>
              <wp:cNvGraphicFramePr/>
              <a:graphic xmlns:a="http://schemas.openxmlformats.org/drawingml/2006/main">
                <a:graphicData uri="http://schemas.microsoft.com/office/word/2010/wordprocessingShape">
                  <wps:wsp>
                    <wps:cNvCnPr/>
                    <wps:spPr>
                      <a:xfrm>
                        <a:off x="0" y="0"/>
                        <a:ext cx="6599976" cy="0"/>
                      </a:xfrm>
                      <a:prstGeom prst="line">
                        <a:avLst/>
                      </a:prstGeom>
                      <a:ln w="190500">
                        <a:solidFill>
                          <a:srgbClr val="013F7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AA98CD4"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51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BQ5gEAACgEAAAOAAAAZHJzL2Uyb0RvYy54bWysU9uO0zAQfUfiHyy/0ySLtkuipvvQqrwg&#10;qNjlA1zHTiz5prFp0r9n7LRZbkIC8eLEnnNm5hyPN4+T0eQsIChnW1qtSkqE5a5Ttm/pl+fDm3eU&#10;hMhsx7SzoqUXEejj9vWrzegbcecGpzsBBJPY0Iy+pUOMvimKwAdhWFg5LywGpQPDIm6hLzpgI2Y3&#10;urgry3UxOug8OC5CwNP9HKTbnF9KweMnKYOIRLcUe4t5hbye0lpsN6zpgflB8Wsb7B+6MExZLLqk&#10;2rPIyFdQv6QyioMLTsYVd6ZwUiousgZUU5U/qXkamBdZC5oT/GJT+H9p+cfzEYjqWlpTYpnBK3qK&#10;wFQ/RLJz1qKBDkidfBp9aBC+s0e47oI/QhI9STDpi3LIlL29LN6KKRKOh+v7uq4f1pTwW6x4IXoI&#10;8b1whqSflmplk2zWsPOHELEYQm+QdKwtGXHY6vK+LDMuOK26g9I6RQP0p50Gcmbpzqu3h4d8zZjj&#10;B1hKuGdhmHE5lFQiTFv8JLWzvvwXL1rMpT8LiX6homounSZVLPUY58LGasmE6EST2NtCvPb8J+IV&#10;n6giT/HfkBdGruxsXMhGWQe/aztOt5bljL85MOtOFpxcd8k3n63BccxeXZ9Omvfv95n+8sC33wAA&#10;AP//AwBQSwMEFAAGAAgAAAAhAE6dtmXcAAAADAEAAA8AAABkcnMvZG93bnJldi54bWxMT01PwkAQ&#10;vZv4HzZj4k22aGO0dEsI2AsXBP0BQ3doG7qzTXeB+u8d4kEuM5n3Mu8jn4+uU2caQuvZwHSSgCKu&#10;vG25NvD9VT69gQoR2WLnmQz8UIB5cX+XY2b9hbd03sVaiQiHDA00MfaZ1qFqyGGY+J5YuIMfHEY5&#10;h1rbAS8i7jr9nCSv2mHL4tBgT8uGquPu5MTk8xDX63FLi81G1+Wq9MvwkRrz+DCuZjIWM1CRxvj/&#10;AdcOkh8KCbb3J7ZBdQakTRQ0lX1lk5f3FNT+D9FFrm9LFL8AAAD//wMAUEsBAi0AFAAGAAgAAAAh&#10;ALaDOJL+AAAA4QEAABMAAAAAAAAAAAAAAAAAAAAAAFtDb250ZW50X1R5cGVzXS54bWxQSwECLQAU&#10;AAYACAAAACEAOP0h/9YAAACUAQAACwAAAAAAAAAAAAAAAAAvAQAAX3JlbHMvLnJlbHNQSwECLQAU&#10;AAYACAAAACEAwuDwUOYBAAAoBAAADgAAAAAAAAAAAAAAAAAuAgAAZHJzL2Uyb0RvYy54bWxQSwEC&#10;LQAUAAYACAAAACEATp22ZdwAAAAMAQAADwAAAAAAAAAAAAAAAABABAAAZHJzL2Rvd25yZXYueG1s&#10;UEsFBgAAAAAEAAQA8wAAAEkFAAAAAA==&#10;" strokecolor="#013f70"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C703C" w14:textId="77777777" w:rsidR="00EC753A" w:rsidRDefault="00EC753A">
      <w:r>
        <w:separator/>
      </w:r>
    </w:p>
  </w:footnote>
  <w:footnote w:type="continuationSeparator" w:id="0">
    <w:p w14:paraId="0BD116F8" w14:textId="77777777" w:rsidR="00EC753A" w:rsidRDefault="00EC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449C" w14:textId="77777777" w:rsidR="00EE6B42" w:rsidRDefault="00EE6B42" w:rsidP="00EE6B42">
    <w:pPr>
      <w:pStyle w:val="Header"/>
    </w:pPr>
    <w:r w:rsidRPr="00281125">
      <w:rPr>
        <w:b/>
        <w:noProof/>
        <w:color w:val="013F70"/>
        <w:sz w:val="28"/>
        <w:szCs w:val="28"/>
      </w:rPr>
      <mc:AlternateContent>
        <mc:Choice Requires="wps">
          <w:drawing>
            <wp:anchor distT="0" distB="0" distL="114300" distR="114300" simplePos="0" relativeHeight="251663360" behindDoc="0" locked="0" layoutInCell="1" allowOverlap="1" wp14:anchorId="23078666" wp14:editId="72BBAAD4">
              <wp:simplePos x="0" y="0"/>
              <wp:positionH relativeFrom="column">
                <wp:posOffset>-88271</wp:posOffset>
              </wp:positionH>
              <wp:positionV relativeFrom="paragraph">
                <wp:posOffset>339505</wp:posOffset>
              </wp:positionV>
              <wp:extent cx="6599410" cy="0"/>
              <wp:effectExtent l="0" t="0" r="17780" b="12700"/>
              <wp:wrapNone/>
              <wp:docPr id="10" name="Straight Connector 10"/>
              <wp:cNvGraphicFramePr/>
              <a:graphic xmlns:a="http://schemas.openxmlformats.org/drawingml/2006/main">
                <a:graphicData uri="http://schemas.microsoft.com/office/word/2010/wordprocessingShape">
                  <wps:wsp>
                    <wps:cNvCnPr/>
                    <wps:spPr>
                      <a:xfrm>
                        <a:off x="0" y="0"/>
                        <a:ext cx="6599410" cy="0"/>
                      </a:xfrm>
                      <a:prstGeom prst="line">
                        <a:avLst/>
                      </a:prstGeom>
                      <a:ln w="12700">
                        <a:solidFill>
                          <a:srgbClr val="013F7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F9C13B1"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26.75pt" to="512.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mQ5AEAACkEAAAOAAAAZHJzL2Uyb0RvYy54bWysU8tu2zAQvBfoPxC815LcNmkEyznYcC9F&#10;azTpB9AUKRHgC0vWkv++S0pW+kKBBL3wtTuzO0Nycz8aTc4CgnK2odWqpERY7lplu4Z+ezy8+UBJ&#10;iMy2TDsrGnoRgd5vX7/aDL4Wa9c73QogSGJDPfiG9jH6uigC74VhYeW8sBiUDgyLuIWuaIENyG50&#10;sS7Lm2Jw0HpwXISAp/spSLeZX0rB4xcpg4hENxR7i3mEPJ7SWGw3rO6A+V7xuQ32gi4MUxaLLlR7&#10;Fhn5DuoPKqM4uOBkXHFnCiel4iJrQDVV+Zuah555kbWgOcEvNoX/R8s/n49AVIt3h/ZYZvCOHiIw&#10;1fWR7Jy16KADgkF0avChRsDOHmHeBX+EJHuUYNKMgsiY3b0s7ooxEo6HN+/v7t6lKvwaK56AHkL8&#10;KJwhadFQrWwSzmp2/hQiFsPUa0o61pYM2PL6tixzWnBatQeldQoG6E47DeTM0qVXbw+3uXuk+CUt&#10;8e1Z6Ke8HEoiMU1bnJLYSV5exYsWU+WvQqJhKKiaSqenKpZ6jHNhY7UwYXaCSextAc49/ws45yeo&#10;yM/4OeAFkSs7GxewUdbB39qO47VlOeVfHZh0JwtOrr3ki8/W4HvMXs1/Jz34n/cZ/vTDtz8AAAD/&#10;/wMAUEsDBBQABgAIAAAAIQBi6WKz4gAAAA8BAAAPAAAAZHJzL2Rvd25yZXYueG1sTE89T8MwEN2R&#10;+A/WIbG1dhsCbRqniqBILB0aKnV14iOJGp+j2E3Dv8cVAywn3b137yPdTqZjIw6utSRhMRfAkCqr&#10;W6olHD/fZytgzivSqrOEEr7RwTa7v0tVou2VDjgWvmZBhFyiJDTe9wnnrmrQKDe3PVLAvuxglA/r&#10;UHM9qGsQNx1fCvHMjWopODSqx9cGq3NxMRLG3Y7OL8d9vsoPxams9YeLhJXy8WF624SRb4B5nPzf&#10;B9w6hPyQhWClvZB2rJMwW0TrQJUQRzGwG0Es4ydg5e+FZyn/3yP7AQAA//8DAFBLAQItABQABgAI&#10;AAAAIQC2gziS/gAAAOEBAAATAAAAAAAAAAAAAAAAAAAAAABbQ29udGVudF9UeXBlc10ueG1sUEsB&#10;Ai0AFAAGAAgAAAAhADj9If/WAAAAlAEAAAsAAAAAAAAAAAAAAAAALwEAAF9yZWxzLy5yZWxzUEsB&#10;Ai0AFAAGAAgAAAAhAOBwaZDkAQAAKQQAAA4AAAAAAAAAAAAAAAAALgIAAGRycy9lMm9Eb2MueG1s&#10;UEsBAi0AFAAGAAgAAAAhAGLpYrPiAAAADwEAAA8AAAAAAAAAAAAAAAAAPgQAAGRycy9kb3ducmV2&#10;LnhtbFBLBQYAAAAABAAEAPMAAABNBQAAAAA=&#10;" strokecolor="#013f70" strokeweight="1pt">
              <v:stroke joinstyle="miter"/>
            </v:line>
          </w:pict>
        </mc:Fallback>
      </mc:AlternateContent>
    </w:r>
    <w:r>
      <w:rPr>
        <w:b/>
        <w:noProof/>
      </w:rPr>
      <mc:AlternateContent>
        <mc:Choice Requires="wps">
          <w:drawing>
            <wp:anchor distT="0" distB="0" distL="114300" distR="114300" simplePos="0" relativeHeight="251662336" behindDoc="0" locked="0" layoutInCell="1" allowOverlap="1" wp14:anchorId="24957490" wp14:editId="14A5815F">
              <wp:simplePos x="0" y="0"/>
              <wp:positionH relativeFrom="column">
                <wp:posOffset>-88271</wp:posOffset>
              </wp:positionH>
              <wp:positionV relativeFrom="paragraph">
                <wp:posOffset>52057</wp:posOffset>
              </wp:positionV>
              <wp:extent cx="6599976" cy="0"/>
              <wp:effectExtent l="0" t="241300" r="29845" b="241300"/>
              <wp:wrapNone/>
              <wp:docPr id="3" name="Straight Connector 3"/>
              <wp:cNvGraphicFramePr/>
              <a:graphic xmlns:a="http://schemas.openxmlformats.org/drawingml/2006/main">
                <a:graphicData uri="http://schemas.microsoft.com/office/word/2010/wordprocessingShape">
                  <wps:wsp>
                    <wps:cNvCnPr/>
                    <wps:spPr>
                      <a:xfrm>
                        <a:off x="0" y="0"/>
                        <a:ext cx="6599976" cy="0"/>
                      </a:xfrm>
                      <a:prstGeom prst="line">
                        <a:avLst/>
                      </a:prstGeom>
                      <a:ln w="476250">
                        <a:solidFill>
                          <a:srgbClr val="013F7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E88E07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4.1pt" to="51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sZ5gEAACgEAAAOAAAAZHJzL2Uyb0RvYy54bWysU8uu0zAQ3SPxD5b3NGnLbWnU9C5alQ2C&#10;inv5ANexE0t+aWya9u8ZO2kuLyGB2Pg158zMOba3j1ejyUVAUM7WdD4rKRGWu0bZtqZfno9v3lES&#10;IrMN086Kmt5EoI+716+2va/EwnVONwIIJrGh6n1Nuxh9VRSBd8KwMHNeWAxKB4ZF3EJbNMB6zG50&#10;sSjLVdE7aDw4LkLA08MQpLucX0rB4ycpg4hE1xR7i3mEPJ7TWOy2rGqB+U7xsQ32D10YpiwWnVId&#10;WGTkK6hfUhnFwQUn44w7UzgpFRdZA6qZlz+peeqYF1kLmhP8ZFP4f2n5x8sJiGpquqTEMoNX9BSB&#10;qbaLZO+sRQMdkGXyqfehQvjenmDcBX+CJPoqwaQZ5ZBr9vY2eSuukXA8XD1sNpv1ihJ+jxUvRA8h&#10;vhfOkLSoqVY2yWYVu3wIEYsh9A5Jx9qSvqZv16vFQ5lxwWnVHJXWKRqgPe81kAtLdz5fHtf5mjHH&#10;D7CU8MBCN+ByKKlEmLY4JbWDvryKNy2G0p+FRL9Q0XwonV6qmOoxzoWN8ykTohNNYm8Tcez5T8QR&#10;n6giv+K/IU+MXNnZOJGNsg5+13a83luWA/7uwKA7WXB2zS3ffLYGn2P2avw66b1/v8/0lw+++wYA&#10;AP//AwBQSwMEFAAGAAgAAAAhAI7zfybhAAAADQEAAA8AAABkcnMvZG93bnJldi54bWxMTz1vwjAQ&#10;3Sv1P1hXqRvYhIJoiIMQCMFSVUCHjiY+khT7HMUmpP++pku7nHT33r2PbNFbwzpsfe1IwmgogCEV&#10;TtdUSvg4bgYzYD4o0so4Qgnf6GGRPz5kKtXuRnvsDqFkUYR8qiRUITQp576o0Co/dA1SxM6utSrE&#10;tS25btUtilvDEyGm3KqaokOlGlxVWFwOVythuXn53L5tC/Ped2cr7GW3H3/tpHx+6tfzOJZzYAH7&#10;8PcB9w4xP+Qx2MldSXtmJAxG49dIlTBLgN1xkUwmwE6/B55n/H+L/AcAAP//AwBQSwECLQAUAAYA&#10;CAAAACEAtoM4kv4AAADhAQAAEwAAAAAAAAAAAAAAAAAAAAAAW0NvbnRlbnRfVHlwZXNdLnhtbFBL&#10;AQItABQABgAIAAAAIQA4/SH/1gAAAJQBAAALAAAAAAAAAAAAAAAAAC8BAABfcmVscy8ucmVsc1BL&#10;AQItABQABgAIAAAAIQAEywsZ5gEAACgEAAAOAAAAAAAAAAAAAAAAAC4CAABkcnMvZTJvRG9jLnht&#10;bFBLAQItABQABgAIAAAAIQCO838m4QAAAA0BAAAPAAAAAAAAAAAAAAAAAEAEAABkcnMvZG93bnJl&#10;di54bWxQSwUGAAAAAAQABADzAAAATgUAAAAA&#10;" strokecolor="#013f70" strokeweight="37.5pt">
              <v:stroke joinstyle="miter"/>
            </v:line>
          </w:pict>
        </mc:Fallback>
      </mc:AlternateContent>
    </w:r>
  </w:p>
  <w:p w14:paraId="73DBD75B" w14:textId="77777777" w:rsidR="008A36D1" w:rsidRDefault="008A36D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7AE"/>
    <w:multiLevelType w:val="multilevel"/>
    <w:tmpl w:val="27626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D1"/>
    <w:rsid w:val="000C77BA"/>
    <w:rsid w:val="000D2461"/>
    <w:rsid w:val="001334BA"/>
    <w:rsid w:val="001556B1"/>
    <w:rsid w:val="001E01C7"/>
    <w:rsid w:val="001F0DD2"/>
    <w:rsid w:val="002B2DB9"/>
    <w:rsid w:val="002F606E"/>
    <w:rsid w:val="00316BAF"/>
    <w:rsid w:val="003C1052"/>
    <w:rsid w:val="003C2398"/>
    <w:rsid w:val="003E0C4D"/>
    <w:rsid w:val="003F7860"/>
    <w:rsid w:val="004968C9"/>
    <w:rsid w:val="004D625F"/>
    <w:rsid w:val="0054484B"/>
    <w:rsid w:val="005B05D9"/>
    <w:rsid w:val="005C364B"/>
    <w:rsid w:val="00603D59"/>
    <w:rsid w:val="006802B2"/>
    <w:rsid w:val="00721B47"/>
    <w:rsid w:val="00727CCD"/>
    <w:rsid w:val="007B5501"/>
    <w:rsid w:val="008A36D1"/>
    <w:rsid w:val="008A7325"/>
    <w:rsid w:val="00A149B9"/>
    <w:rsid w:val="00AA6C0A"/>
    <w:rsid w:val="00AB0B0B"/>
    <w:rsid w:val="00BB6F16"/>
    <w:rsid w:val="00CE1B1B"/>
    <w:rsid w:val="00D300FE"/>
    <w:rsid w:val="00DF7E44"/>
    <w:rsid w:val="00E760A8"/>
    <w:rsid w:val="00EB1FCD"/>
    <w:rsid w:val="00EC753A"/>
    <w:rsid w:val="00EE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DEE2"/>
  <w15:docId w15:val="{94F59A0F-A6C0-B94C-8611-236B0AC1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C205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C2059"/>
    <w:rPr>
      <w:color w:val="0000FF"/>
      <w:u w:val="single"/>
    </w:rPr>
  </w:style>
  <w:style w:type="paragraph" w:styleId="ListParagraph">
    <w:name w:val="List Paragraph"/>
    <w:basedOn w:val="Normal"/>
    <w:uiPriority w:val="34"/>
    <w:qFormat/>
    <w:rsid w:val="006C2059"/>
    <w:pPr>
      <w:ind w:left="720"/>
      <w:contextualSpacing/>
    </w:pPr>
  </w:style>
  <w:style w:type="paragraph" w:styleId="Header">
    <w:name w:val="header"/>
    <w:basedOn w:val="Normal"/>
    <w:link w:val="HeaderChar"/>
    <w:uiPriority w:val="99"/>
    <w:unhideWhenUsed/>
    <w:rsid w:val="00281125"/>
    <w:pPr>
      <w:tabs>
        <w:tab w:val="center" w:pos="4680"/>
        <w:tab w:val="right" w:pos="9360"/>
      </w:tabs>
    </w:pPr>
  </w:style>
  <w:style w:type="character" w:customStyle="1" w:styleId="HeaderChar">
    <w:name w:val="Header Char"/>
    <w:basedOn w:val="DefaultParagraphFont"/>
    <w:link w:val="Header"/>
    <w:uiPriority w:val="99"/>
    <w:rsid w:val="00281125"/>
  </w:style>
  <w:style w:type="paragraph" w:styleId="Footer">
    <w:name w:val="footer"/>
    <w:basedOn w:val="Normal"/>
    <w:link w:val="FooterChar"/>
    <w:uiPriority w:val="99"/>
    <w:unhideWhenUsed/>
    <w:rsid w:val="00281125"/>
    <w:pPr>
      <w:tabs>
        <w:tab w:val="center" w:pos="4680"/>
        <w:tab w:val="right" w:pos="9360"/>
      </w:tabs>
    </w:pPr>
  </w:style>
  <w:style w:type="character" w:customStyle="1" w:styleId="FooterChar">
    <w:name w:val="Footer Char"/>
    <w:basedOn w:val="DefaultParagraphFont"/>
    <w:link w:val="Footer"/>
    <w:uiPriority w:val="99"/>
    <w:rsid w:val="00281125"/>
  </w:style>
  <w:style w:type="character" w:styleId="CommentReference">
    <w:name w:val="annotation reference"/>
    <w:basedOn w:val="DefaultParagraphFont"/>
    <w:uiPriority w:val="99"/>
    <w:semiHidden/>
    <w:unhideWhenUsed/>
    <w:rsid w:val="009E3BAD"/>
    <w:rPr>
      <w:sz w:val="16"/>
      <w:szCs w:val="16"/>
    </w:rPr>
  </w:style>
  <w:style w:type="paragraph" w:styleId="CommentText">
    <w:name w:val="annotation text"/>
    <w:basedOn w:val="Normal"/>
    <w:link w:val="CommentTextChar"/>
    <w:uiPriority w:val="99"/>
    <w:semiHidden/>
    <w:unhideWhenUsed/>
    <w:rsid w:val="009E3BAD"/>
    <w:rPr>
      <w:sz w:val="20"/>
      <w:szCs w:val="20"/>
    </w:rPr>
  </w:style>
  <w:style w:type="character" w:customStyle="1" w:styleId="CommentTextChar">
    <w:name w:val="Comment Text Char"/>
    <w:basedOn w:val="DefaultParagraphFont"/>
    <w:link w:val="CommentText"/>
    <w:uiPriority w:val="99"/>
    <w:semiHidden/>
    <w:rsid w:val="009E3BAD"/>
    <w:rPr>
      <w:sz w:val="20"/>
      <w:szCs w:val="20"/>
    </w:rPr>
  </w:style>
  <w:style w:type="paragraph" w:styleId="CommentSubject">
    <w:name w:val="annotation subject"/>
    <w:basedOn w:val="CommentText"/>
    <w:next w:val="CommentText"/>
    <w:link w:val="CommentSubjectChar"/>
    <w:uiPriority w:val="99"/>
    <w:semiHidden/>
    <w:unhideWhenUsed/>
    <w:rsid w:val="009E3BAD"/>
    <w:rPr>
      <w:b/>
      <w:bCs/>
    </w:rPr>
  </w:style>
  <w:style w:type="character" w:customStyle="1" w:styleId="CommentSubjectChar">
    <w:name w:val="Comment Subject Char"/>
    <w:basedOn w:val="CommentTextChar"/>
    <w:link w:val="CommentSubject"/>
    <w:uiPriority w:val="99"/>
    <w:semiHidden/>
    <w:rsid w:val="009E3BAD"/>
    <w:rPr>
      <w:b/>
      <w:bCs/>
      <w:sz w:val="20"/>
      <w:szCs w:val="20"/>
    </w:rPr>
  </w:style>
  <w:style w:type="paragraph" w:styleId="BalloonText">
    <w:name w:val="Balloon Text"/>
    <w:basedOn w:val="Normal"/>
    <w:link w:val="BalloonTextChar"/>
    <w:uiPriority w:val="99"/>
    <w:semiHidden/>
    <w:unhideWhenUsed/>
    <w:rsid w:val="009E3B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3BAD"/>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680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68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wflc.org/sites/default/files/LSR%20FY%202022%20Western%20Guidance_FINAL.docx.pdf_PI%20Waive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orestrygrant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wflc.org/sites/default/files/Proposed%20National%20LSR%20Manual.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Tom.smith@fire.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sp/MOlx3hx7HlMgxJtVFhUfs5Q==">AMUW2mVJ1xKrgzgO+EaCUWFbH/OpgNyjW0G9I7rohLV53c20/N7WscRL5AJ1fvIeDKccRNG5Mw6VWMk5/0Mfd0R04Nt4ch0XCSu5xtqVszH+E7ZvrxKgg6fYZcxHgY2bU44B2sirH5quiCJQu4EInh56MM9lb5UoxrCJJmdCNPDOSMbFg+8R684=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CWSF</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Smith, Tom@CALFIRE</cp:lastModifiedBy>
  <cp:revision>6</cp:revision>
  <dcterms:created xsi:type="dcterms:W3CDTF">2021-08-19T23:09:00Z</dcterms:created>
  <dcterms:modified xsi:type="dcterms:W3CDTF">2021-08-23T15:23:00Z</dcterms:modified>
</cp:coreProperties>
</file>