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00645" w14:textId="410C213F" w:rsidR="00AB1A76" w:rsidRDefault="003F09F0" w:rsidP="003F09F0">
      <w:pPr>
        <w:pStyle w:val="Header"/>
        <w:rPr>
          <w:rFonts w:ascii="Century Gothic" w:hAnsi="Century Gothic" w:cs="Arial"/>
          <w:b/>
        </w:rPr>
      </w:pPr>
      <w:r w:rsidRPr="003F09F0">
        <w:rPr>
          <w:rFonts w:ascii="Century Gothic" w:hAnsi="Century Gothic" w:cs="Arial"/>
          <w:b/>
        </w:rPr>
        <w:t>Contact:</w:t>
      </w:r>
      <w:r w:rsidR="00C86A67">
        <w:rPr>
          <w:rFonts w:ascii="Century Gothic" w:hAnsi="Century Gothic" w:cs="Arial"/>
          <w:b/>
        </w:rPr>
        <w:t xml:space="preserve">  </w:t>
      </w:r>
      <w:r w:rsidR="007C5896">
        <w:rPr>
          <w:rFonts w:ascii="Century Gothic" w:hAnsi="Century Gothic" w:cs="Arial"/>
          <w:b/>
        </w:rPr>
        <w:t xml:space="preserve">Allison </w:t>
      </w:r>
      <w:proofErr w:type="spellStart"/>
      <w:r w:rsidR="007C5896">
        <w:rPr>
          <w:rFonts w:ascii="Century Gothic" w:hAnsi="Century Gothic" w:cs="Arial"/>
          <w:b/>
        </w:rPr>
        <w:t>Kodeih</w:t>
      </w:r>
      <w:proofErr w:type="spellEnd"/>
      <w:r w:rsidR="007C5896">
        <w:rPr>
          <w:rFonts w:ascii="Century Gothic" w:hAnsi="Century Gothic" w:cs="Arial"/>
          <w:b/>
        </w:rPr>
        <w:t>, Program Director</w:t>
      </w:r>
    </w:p>
    <w:p w14:paraId="012AC41F" w14:textId="652CCFFC" w:rsidR="00AB1A76" w:rsidRDefault="00AB1A76" w:rsidP="003F09F0">
      <w:pPr>
        <w:pStyle w:val="Header"/>
        <w:rPr>
          <w:rFonts w:ascii="Century Gothic" w:hAnsi="Century Gothic" w:cs="Arial"/>
        </w:rPr>
      </w:pPr>
      <w:r w:rsidRPr="007C5896">
        <w:rPr>
          <w:rFonts w:ascii="Century Gothic" w:hAnsi="Century Gothic" w:cs="Arial"/>
          <w:b/>
          <w:bCs/>
        </w:rPr>
        <w:t>Organization:</w:t>
      </w:r>
      <w:r w:rsidR="00C86A67">
        <w:rPr>
          <w:rFonts w:ascii="Century Gothic" w:hAnsi="Century Gothic" w:cs="Arial"/>
        </w:rPr>
        <w:t xml:space="preserve"> </w:t>
      </w:r>
      <w:r w:rsidR="007C5896">
        <w:rPr>
          <w:rFonts w:ascii="Century Gothic" w:hAnsi="Century Gothic" w:cs="Arial"/>
        </w:rPr>
        <w:t xml:space="preserve"> The Remember Project</w:t>
      </w:r>
    </w:p>
    <w:p w14:paraId="527D9B9E" w14:textId="006E1244" w:rsidR="00AB1A76" w:rsidRDefault="00AB1A76" w:rsidP="003F09F0">
      <w:pPr>
        <w:pStyle w:val="Header"/>
        <w:rPr>
          <w:rFonts w:ascii="Century Gothic" w:hAnsi="Century Gothic" w:cs="Arial"/>
        </w:rPr>
      </w:pPr>
      <w:r w:rsidRPr="007C5896">
        <w:rPr>
          <w:rFonts w:ascii="Century Gothic" w:hAnsi="Century Gothic" w:cs="Arial"/>
          <w:b/>
          <w:bCs/>
        </w:rPr>
        <w:t>Email Address:</w:t>
      </w:r>
      <w:r w:rsidR="00C86A67">
        <w:rPr>
          <w:rFonts w:ascii="Century Gothic" w:hAnsi="Century Gothic" w:cs="Arial"/>
        </w:rPr>
        <w:t xml:space="preserve"> </w:t>
      </w:r>
      <w:r w:rsidR="007C5896">
        <w:rPr>
          <w:rFonts w:ascii="Century Gothic" w:hAnsi="Century Gothic" w:cs="Arial"/>
        </w:rPr>
        <w:t xml:space="preserve"> akodeih@rememberproject.org</w:t>
      </w:r>
    </w:p>
    <w:p w14:paraId="6C27D9A2" w14:textId="6489AA63" w:rsidR="003F09F0" w:rsidRPr="003F09F0" w:rsidRDefault="00AB1A76" w:rsidP="003F09F0">
      <w:pPr>
        <w:pStyle w:val="Header"/>
        <w:rPr>
          <w:rFonts w:ascii="Century Gothic" w:hAnsi="Century Gothic" w:cs="Arial"/>
          <w:b/>
        </w:rPr>
      </w:pPr>
      <w:r w:rsidRPr="007C5896">
        <w:rPr>
          <w:rFonts w:ascii="Century Gothic" w:hAnsi="Century Gothic" w:cs="Arial"/>
          <w:b/>
          <w:bCs/>
        </w:rPr>
        <w:t>Phone Number:</w:t>
      </w:r>
      <w:r w:rsidR="00C86A67">
        <w:rPr>
          <w:rFonts w:ascii="Century Gothic" w:hAnsi="Century Gothic" w:cs="Arial"/>
        </w:rPr>
        <w:t xml:space="preserve">  </w:t>
      </w:r>
      <w:r w:rsidR="007C5896">
        <w:rPr>
          <w:rFonts w:ascii="Century Gothic" w:hAnsi="Century Gothic" w:cs="Arial"/>
        </w:rPr>
        <w:t>651.251.5771</w:t>
      </w:r>
    </w:p>
    <w:p w14:paraId="38BFAF04" w14:textId="5D7BDAA4" w:rsidR="00366FEB" w:rsidRDefault="00E2482E" w:rsidP="007C5896">
      <w:pPr>
        <w:pStyle w:val="Header"/>
        <w:jc w:val="right"/>
        <w:rPr>
          <w:rFonts w:ascii="Century Gothic" w:hAnsi="Century Gothic" w:cs="Arial"/>
        </w:rPr>
      </w:pPr>
      <w:r>
        <w:rPr>
          <w:rFonts w:ascii="Century Gothic" w:hAnsi="Century Gothic" w:cs="Arial"/>
        </w:rPr>
        <w:tab/>
      </w:r>
      <w:r>
        <w:rPr>
          <w:rFonts w:ascii="Century Gothic" w:hAnsi="Century Gothic" w:cs="Arial"/>
        </w:rPr>
        <w:tab/>
      </w:r>
      <w:r w:rsidR="007C5896">
        <w:rPr>
          <w:rFonts w:ascii="Century Gothic" w:hAnsi="Century Gothic" w:cs="Arial"/>
        </w:rPr>
        <w:tab/>
      </w:r>
      <w:r w:rsidR="007C5896">
        <w:rPr>
          <w:rFonts w:ascii="Century Gothic" w:hAnsi="Century Gothic" w:cs="Arial"/>
        </w:rPr>
        <w:tab/>
      </w:r>
      <w:r w:rsidR="007C5896">
        <w:rPr>
          <w:rFonts w:ascii="Century Gothic" w:hAnsi="Century Gothic" w:cs="Arial"/>
        </w:rPr>
        <w:tab/>
        <w:t xml:space="preserve">       </w:t>
      </w:r>
      <w:r w:rsidR="00965523">
        <w:rPr>
          <w:rFonts w:ascii="Century Gothic" w:hAnsi="Century Gothic" w:cs="Arial"/>
        </w:rPr>
        <w:t>August 2</w:t>
      </w:r>
      <w:r w:rsidR="007C5896">
        <w:rPr>
          <w:rFonts w:ascii="Century Gothic" w:hAnsi="Century Gothic" w:cs="Arial"/>
        </w:rPr>
        <w:t>, 2021</w:t>
      </w:r>
    </w:p>
    <w:p w14:paraId="101F6FAC" w14:textId="6872E820" w:rsidR="003F09F0" w:rsidRPr="003F09F0" w:rsidRDefault="003F09F0" w:rsidP="003F09F0">
      <w:pPr>
        <w:jc w:val="right"/>
        <w:rPr>
          <w:rFonts w:ascii="Century Gothic" w:hAnsi="Century Gothic" w:cs="Arial"/>
          <w:b/>
        </w:rPr>
      </w:pPr>
      <w:r w:rsidRPr="003F09F0">
        <w:rPr>
          <w:rFonts w:ascii="Century Gothic" w:hAnsi="Century Gothic" w:cs="Arial"/>
        </w:rPr>
        <w:tab/>
      </w:r>
      <w:r w:rsidRPr="003F09F0">
        <w:rPr>
          <w:rFonts w:ascii="Century Gothic" w:hAnsi="Century Gothic" w:cs="Arial"/>
        </w:rPr>
        <w:tab/>
      </w:r>
      <w:r w:rsidR="00AB1A76">
        <w:rPr>
          <w:rFonts w:ascii="Century Gothic" w:hAnsi="Century Gothic" w:cs="Arial"/>
          <w:b/>
        </w:rPr>
        <w:t xml:space="preserve">***PRESS </w:t>
      </w:r>
      <w:r w:rsidRPr="003F09F0">
        <w:rPr>
          <w:rFonts w:ascii="Century Gothic" w:hAnsi="Century Gothic" w:cs="Arial"/>
          <w:b/>
        </w:rPr>
        <w:t>RELEASE***</w:t>
      </w:r>
    </w:p>
    <w:p w14:paraId="600185AA" w14:textId="051CBD55" w:rsidR="00BF7A20" w:rsidRPr="00CA2DBE" w:rsidRDefault="003F09F0" w:rsidP="00CA2DBE">
      <w:pPr>
        <w:jc w:val="right"/>
        <w:rPr>
          <w:rFonts w:ascii="Century Gothic" w:hAnsi="Century Gothic" w:cs="Arial"/>
          <w:sz w:val="28"/>
          <w:szCs w:val="28"/>
        </w:rPr>
      </w:pPr>
      <w:r w:rsidRPr="003F09F0">
        <w:rPr>
          <w:rFonts w:ascii="Century Gothic" w:hAnsi="Century Gothic"/>
          <w:noProof/>
        </w:rPr>
        <mc:AlternateContent>
          <mc:Choice Requires="wps">
            <w:drawing>
              <wp:anchor distT="0" distB="0" distL="114300" distR="114300" simplePos="0" relativeHeight="251659264" behindDoc="0" locked="0" layoutInCell="1" allowOverlap="1" wp14:anchorId="0E89BA02" wp14:editId="3A982A84">
                <wp:simplePos x="0" y="0"/>
                <wp:positionH relativeFrom="margin">
                  <wp:align>center</wp:align>
                </wp:positionH>
                <wp:positionV relativeFrom="paragraph">
                  <wp:posOffset>56515</wp:posOffset>
                </wp:positionV>
                <wp:extent cx="6381115" cy="0"/>
                <wp:effectExtent l="22225" t="22860" r="26035" b="247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81115" cy="0"/>
                        </a:xfrm>
                        <a:prstGeom prst="line">
                          <a:avLst/>
                        </a:prstGeom>
                        <a:noFill/>
                        <a:ln w="381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w14:anchorId="4FB4F69A" id="Straight Connector 2"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4.45pt" to="502.45pt,4.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" strokeweight="3pt">
                <w10:wrap anchorx="margin"/>
              </v:line>
            </w:pict>
          </mc:Fallback>
        </mc:AlternateContent>
      </w:r>
    </w:p>
    <w:p w14:paraId="258F2341" w14:textId="78DA5D48" w:rsidR="00AC60B9" w:rsidRDefault="002445D6" w:rsidP="003F09F0">
      <w:pPr>
        <w:jc w:val="center"/>
        <w:rPr>
          <w:rFonts w:ascii="Century Gothic" w:hAnsi="Century Gothic"/>
          <w:sz w:val="28"/>
          <w:szCs w:val="28"/>
        </w:rPr>
      </w:pPr>
      <w:r>
        <w:rPr>
          <w:rFonts w:ascii="Century Gothic" w:hAnsi="Century Gothic"/>
          <w:noProof/>
          <w:sz w:val="28"/>
          <w:szCs w:val="28"/>
        </w:rPr>
        <w:drawing>
          <wp:inline distT="0" distB="0" distL="0" distR="0" wp14:anchorId="6C3990F5" wp14:editId="2A8AFA19">
            <wp:extent cx="2090969" cy="1214117"/>
            <wp:effectExtent l="0" t="0" r="508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a:stretch>
                      <a:fillRect/>
                    </a:stretch>
                  </pic:blipFill>
                  <pic:spPr>
                    <a:xfrm>
                      <a:off x="0" y="0"/>
                      <a:ext cx="2108012" cy="1224013"/>
                    </a:xfrm>
                    <a:prstGeom prst="rect">
                      <a:avLst/>
                    </a:prstGeom>
                  </pic:spPr>
                </pic:pic>
              </a:graphicData>
            </a:graphic>
          </wp:inline>
        </w:drawing>
      </w:r>
    </w:p>
    <w:p w14:paraId="7FC0BF2C" w14:textId="72DA5E2F" w:rsidR="00BF7A20" w:rsidRPr="00AC60B9" w:rsidRDefault="007C5896" w:rsidP="00AC60B9">
      <w:pPr>
        <w:jc w:val="center"/>
        <w:rPr>
          <w:rFonts w:ascii="Century Gothic" w:hAnsi="Century Gothic"/>
          <w:sz w:val="28"/>
          <w:szCs w:val="28"/>
        </w:rPr>
      </w:pPr>
      <w:r>
        <w:rPr>
          <w:rFonts w:ascii="Century Gothic" w:hAnsi="Century Gothic"/>
          <w:sz w:val="28"/>
          <w:szCs w:val="28"/>
        </w:rPr>
        <w:t xml:space="preserve">Applications Open for Arts &amp; Aging </w:t>
      </w:r>
      <w:r w:rsidR="00965523">
        <w:rPr>
          <w:rFonts w:ascii="Century Gothic" w:hAnsi="Century Gothic"/>
          <w:sz w:val="28"/>
          <w:szCs w:val="28"/>
        </w:rPr>
        <w:t>Partnership</w:t>
      </w:r>
    </w:p>
    <w:p w14:paraId="1969B995" w14:textId="77777777" w:rsidR="007153B5" w:rsidRDefault="007153B5" w:rsidP="00CA16D6">
      <w:pPr>
        <w:rPr>
          <w:rFonts w:ascii="Century Gothic" w:hAnsi="Century Gothic"/>
          <w:sz w:val="20"/>
          <w:szCs w:val="20"/>
        </w:rPr>
      </w:pPr>
    </w:p>
    <w:p w14:paraId="41351E1B" w14:textId="155BC867" w:rsidR="007C5896" w:rsidRDefault="00AE4A67" w:rsidP="00AC60B9">
      <w:pPr>
        <w:rPr>
          <w:rFonts w:ascii="Century Gothic" w:eastAsia="Times New Roman" w:hAnsi="Century Gothic" w:cs="Arial"/>
          <w:color w:val="222222"/>
          <w:sz w:val="20"/>
          <w:szCs w:val="20"/>
        </w:rPr>
      </w:pPr>
      <w:r>
        <w:rPr>
          <w:rFonts w:ascii="Century Gothic" w:hAnsi="Century Gothic" w:cs="Calibri"/>
          <w:sz w:val="20"/>
          <w:szCs w:val="20"/>
        </w:rPr>
        <w:t xml:space="preserve">Wisconsin </w:t>
      </w:r>
      <w:r w:rsidR="007C5896">
        <w:rPr>
          <w:rFonts w:ascii="Century Gothic" w:hAnsi="Century Gothic" w:cs="Calibri"/>
          <w:sz w:val="20"/>
          <w:szCs w:val="20"/>
        </w:rPr>
        <w:t>continues to lead the way in creating Aging in Place initiatives for older adults.   The artists involved with The Remember Project are now offering distance-learning workshops for professionals and volunteers in the field of Aging.   There is no registration fee thanks to a generous grant from</w:t>
      </w:r>
      <w:r w:rsidR="00965523">
        <w:rPr>
          <w:rFonts w:ascii="Century Gothic" w:hAnsi="Century Gothic" w:cs="Calibri"/>
          <w:sz w:val="20"/>
          <w:szCs w:val="20"/>
        </w:rPr>
        <w:t xml:space="preserve"> </w:t>
      </w:r>
      <w:r>
        <w:rPr>
          <w:rFonts w:ascii="Century Gothic" w:hAnsi="Century Gothic" w:cs="Calibri"/>
          <w:sz w:val="20"/>
          <w:szCs w:val="20"/>
        </w:rPr>
        <w:t xml:space="preserve">Bader </w:t>
      </w:r>
      <w:r w:rsidR="00965523">
        <w:rPr>
          <w:rFonts w:ascii="Century Gothic" w:hAnsi="Century Gothic" w:cs="Calibri"/>
          <w:sz w:val="20"/>
          <w:szCs w:val="20"/>
        </w:rPr>
        <w:t>Philanthropies</w:t>
      </w:r>
      <w:r w:rsidR="007C5896">
        <w:rPr>
          <w:rFonts w:ascii="Century Gothic" w:hAnsi="Century Gothic" w:cs="Calibri"/>
          <w:sz w:val="20"/>
          <w:szCs w:val="20"/>
        </w:rPr>
        <w:t xml:space="preserve"> and applications are due on </w:t>
      </w:r>
      <w:r>
        <w:rPr>
          <w:rFonts w:ascii="Century Gothic" w:hAnsi="Century Gothic" w:cs="Calibri"/>
          <w:sz w:val="20"/>
          <w:szCs w:val="20"/>
        </w:rPr>
        <w:t>August</w:t>
      </w:r>
      <w:r w:rsidR="007C5896">
        <w:rPr>
          <w:rFonts w:ascii="Century Gothic" w:hAnsi="Century Gothic" w:cs="Calibri"/>
          <w:sz w:val="20"/>
          <w:szCs w:val="20"/>
        </w:rPr>
        <w:t xml:space="preserve"> </w:t>
      </w:r>
      <w:r>
        <w:rPr>
          <w:rFonts w:ascii="Century Gothic" w:hAnsi="Century Gothic" w:cs="Calibri"/>
          <w:sz w:val="20"/>
          <w:szCs w:val="20"/>
        </w:rPr>
        <w:t>20</w:t>
      </w:r>
      <w:r w:rsidR="007C5896" w:rsidRPr="007C5896">
        <w:rPr>
          <w:rFonts w:ascii="Century Gothic" w:hAnsi="Century Gothic" w:cs="Calibri"/>
          <w:sz w:val="20"/>
          <w:szCs w:val="20"/>
          <w:vertAlign w:val="superscript"/>
        </w:rPr>
        <w:t>th</w:t>
      </w:r>
      <w:r w:rsidR="007C5896">
        <w:rPr>
          <w:rFonts w:ascii="Century Gothic" w:hAnsi="Century Gothic" w:cs="Calibri"/>
          <w:sz w:val="20"/>
          <w:szCs w:val="20"/>
        </w:rPr>
        <w:t>.</w:t>
      </w:r>
      <w:r w:rsidR="001C7559">
        <w:rPr>
          <w:rFonts w:ascii="Century Gothic" w:hAnsi="Century Gothic" w:cs="Calibri"/>
          <w:sz w:val="20"/>
          <w:szCs w:val="20"/>
        </w:rPr>
        <w:t xml:space="preserve">  Priority focus are the</w:t>
      </w:r>
      <w:r w:rsidR="00965523">
        <w:rPr>
          <w:rFonts w:ascii="Century Gothic" w:hAnsi="Century Gothic" w:cs="Calibri"/>
          <w:sz w:val="20"/>
          <w:szCs w:val="20"/>
        </w:rPr>
        <w:t xml:space="preserve"> ADRC</w:t>
      </w:r>
      <w:r w:rsidR="001C7559">
        <w:rPr>
          <w:rFonts w:ascii="Century Gothic" w:hAnsi="Century Gothic" w:cs="Calibri"/>
          <w:sz w:val="20"/>
          <w:szCs w:val="20"/>
        </w:rPr>
        <w:t xml:space="preserve"> regions</w:t>
      </w:r>
      <w:r w:rsidR="00965523">
        <w:rPr>
          <w:rFonts w:ascii="Century Gothic" w:hAnsi="Century Gothic" w:cs="Calibri"/>
          <w:sz w:val="20"/>
          <w:szCs w:val="20"/>
        </w:rPr>
        <w:t xml:space="preserve"> of southwest Wisconsin</w:t>
      </w:r>
      <w:r w:rsidR="001C7559">
        <w:rPr>
          <w:rFonts w:ascii="Century Gothic" w:hAnsi="Century Gothic" w:cs="Calibri"/>
          <w:sz w:val="20"/>
          <w:szCs w:val="20"/>
        </w:rPr>
        <w:t xml:space="preserve"> </w:t>
      </w:r>
      <w:r>
        <w:rPr>
          <w:rFonts w:ascii="Century Gothic" w:eastAsia="Times New Roman" w:hAnsi="Century Gothic" w:cs="Arial"/>
          <w:color w:val="222222"/>
          <w:sz w:val="20"/>
          <w:szCs w:val="20"/>
        </w:rPr>
        <w:t>(</w:t>
      </w:r>
      <w:r w:rsidRPr="00AE4A67">
        <w:rPr>
          <w:rFonts w:ascii="Century Gothic" w:eastAsia="Times New Roman" w:hAnsi="Century Gothic" w:cs="Arial"/>
          <w:color w:val="222222"/>
          <w:sz w:val="20"/>
          <w:szCs w:val="20"/>
        </w:rPr>
        <w:t xml:space="preserve">including the counties of Buffalo, </w:t>
      </w:r>
      <w:r w:rsidR="006C56AE" w:rsidRPr="00AE4A67">
        <w:rPr>
          <w:rFonts w:ascii="Century Gothic" w:eastAsia="Times New Roman" w:hAnsi="Century Gothic" w:cs="Arial"/>
          <w:color w:val="222222"/>
          <w:sz w:val="20"/>
          <w:szCs w:val="20"/>
        </w:rPr>
        <w:t>Crawford, Jackson, Juneau</w:t>
      </w:r>
      <w:r w:rsidR="006C56AE">
        <w:rPr>
          <w:rFonts w:ascii="Century Gothic" w:eastAsia="Times New Roman" w:hAnsi="Century Gothic" w:cs="Arial"/>
          <w:color w:val="222222"/>
          <w:sz w:val="20"/>
          <w:szCs w:val="20"/>
        </w:rPr>
        <w:t xml:space="preserve">, </w:t>
      </w:r>
      <w:proofErr w:type="spellStart"/>
      <w:r w:rsidR="006C56AE">
        <w:rPr>
          <w:rFonts w:ascii="Century Gothic" w:eastAsia="Times New Roman" w:hAnsi="Century Gothic" w:cs="Arial"/>
          <w:color w:val="222222"/>
          <w:sz w:val="20"/>
          <w:szCs w:val="20"/>
        </w:rPr>
        <w:t>LaCrosse</w:t>
      </w:r>
      <w:proofErr w:type="spellEnd"/>
      <w:r w:rsidR="006C56AE">
        <w:rPr>
          <w:rFonts w:ascii="Century Gothic" w:eastAsia="Times New Roman" w:hAnsi="Century Gothic" w:cs="Arial"/>
          <w:color w:val="222222"/>
          <w:sz w:val="20"/>
          <w:szCs w:val="20"/>
        </w:rPr>
        <w:t>,</w:t>
      </w:r>
      <w:r w:rsidR="006C56AE" w:rsidRPr="00AE4A67">
        <w:rPr>
          <w:rFonts w:ascii="Century Gothic" w:eastAsia="Times New Roman" w:hAnsi="Century Gothic" w:cs="Arial"/>
          <w:color w:val="222222"/>
          <w:sz w:val="20"/>
          <w:szCs w:val="20"/>
        </w:rPr>
        <w:t xml:space="preserve"> Monroe,</w:t>
      </w:r>
      <w:r w:rsidR="006C56AE">
        <w:rPr>
          <w:rFonts w:ascii="Century Gothic" w:eastAsia="Times New Roman" w:hAnsi="Century Gothic" w:cs="Arial"/>
          <w:color w:val="222222"/>
          <w:sz w:val="20"/>
          <w:szCs w:val="20"/>
        </w:rPr>
        <w:t xml:space="preserve"> </w:t>
      </w:r>
      <w:r w:rsidRPr="00AE4A67">
        <w:rPr>
          <w:rFonts w:ascii="Century Gothic" w:eastAsia="Times New Roman" w:hAnsi="Century Gothic" w:cs="Arial"/>
          <w:color w:val="222222"/>
          <w:sz w:val="20"/>
          <w:szCs w:val="20"/>
        </w:rPr>
        <w:t xml:space="preserve">Pepin, </w:t>
      </w:r>
      <w:r w:rsidR="006C56AE" w:rsidRPr="00AE4A67">
        <w:rPr>
          <w:rFonts w:ascii="Century Gothic" w:eastAsia="Times New Roman" w:hAnsi="Century Gothic" w:cs="Arial"/>
          <w:color w:val="222222"/>
          <w:sz w:val="20"/>
          <w:szCs w:val="20"/>
        </w:rPr>
        <w:t>Richland, Sauk,</w:t>
      </w:r>
      <w:r w:rsidR="006C56AE">
        <w:rPr>
          <w:rFonts w:ascii="Century Gothic" w:eastAsia="Times New Roman" w:hAnsi="Century Gothic" w:cs="Arial"/>
          <w:color w:val="222222"/>
          <w:sz w:val="20"/>
          <w:szCs w:val="20"/>
        </w:rPr>
        <w:t xml:space="preserve"> </w:t>
      </w:r>
      <w:r w:rsidR="00965523" w:rsidRPr="00AE4A67">
        <w:rPr>
          <w:rFonts w:ascii="Century Gothic" w:eastAsia="Times New Roman" w:hAnsi="Century Gothic" w:cs="Arial"/>
          <w:color w:val="222222"/>
          <w:sz w:val="20"/>
          <w:szCs w:val="20"/>
        </w:rPr>
        <w:t>Trempealeau</w:t>
      </w:r>
      <w:r w:rsidRPr="00AE4A67">
        <w:rPr>
          <w:rFonts w:ascii="Century Gothic" w:eastAsia="Times New Roman" w:hAnsi="Century Gothic" w:cs="Arial"/>
          <w:color w:val="222222"/>
          <w:sz w:val="20"/>
          <w:szCs w:val="20"/>
        </w:rPr>
        <w:t xml:space="preserve">, </w:t>
      </w:r>
      <w:r w:rsidR="006C56AE">
        <w:rPr>
          <w:rFonts w:ascii="Century Gothic" w:eastAsia="Times New Roman" w:hAnsi="Century Gothic" w:cs="Arial"/>
          <w:color w:val="222222"/>
          <w:sz w:val="20"/>
          <w:szCs w:val="20"/>
        </w:rPr>
        <w:t xml:space="preserve">and </w:t>
      </w:r>
      <w:r w:rsidRPr="00AE4A67">
        <w:rPr>
          <w:rFonts w:ascii="Century Gothic" w:eastAsia="Times New Roman" w:hAnsi="Century Gothic" w:cs="Arial"/>
          <w:color w:val="222222"/>
          <w:sz w:val="20"/>
          <w:szCs w:val="20"/>
        </w:rPr>
        <w:t>Vernon</w:t>
      </w:r>
      <w:r>
        <w:rPr>
          <w:rFonts w:ascii="Century Gothic" w:eastAsia="Times New Roman" w:hAnsi="Century Gothic" w:cs="Arial"/>
          <w:color w:val="222222"/>
          <w:sz w:val="20"/>
          <w:szCs w:val="20"/>
        </w:rPr>
        <w:t xml:space="preserve">), and the </w:t>
      </w:r>
      <w:r w:rsidRPr="00AE4A67">
        <w:rPr>
          <w:rFonts w:ascii="Century Gothic" w:eastAsia="Times New Roman" w:hAnsi="Century Gothic" w:cs="Arial"/>
          <w:color w:val="222222"/>
          <w:sz w:val="20"/>
          <w:szCs w:val="20"/>
        </w:rPr>
        <w:t>ADRC</w:t>
      </w:r>
      <w:r w:rsidR="00965523">
        <w:rPr>
          <w:rFonts w:ascii="Century Gothic" w:eastAsia="Times New Roman" w:hAnsi="Century Gothic" w:cs="Arial"/>
          <w:color w:val="222222"/>
          <w:sz w:val="20"/>
          <w:szCs w:val="20"/>
        </w:rPr>
        <w:t xml:space="preserve"> regions of east central Wisconsin</w:t>
      </w:r>
      <w:r w:rsidRPr="00AE4A67">
        <w:rPr>
          <w:rFonts w:ascii="Century Gothic" w:eastAsia="Times New Roman" w:hAnsi="Century Gothic" w:cs="Arial"/>
          <w:color w:val="222222"/>
          <w:sz w:val="20"/>
          <w:szCs w:val="20"/>
        </w:rPr>
        <w:t xml:space="preserve"> </w:t>
      </w:r>
      <w:r>
        <w:rPr>
          <w:rFonts w:ascii="Century Gothic" w:eastAsia="Times New Roman" w:hAnsi="Century Gothic" w:cs="Arial"/>
          <w:color w:val="222222"/>
          <w:sz w:val="20"/>
          <w:szCs w:val="20"/>
        </w:rPr>
        <w:t>(</w:t>
      </w:r>
      <w:r w:rsidRPr="00AE4A67">
        <w:rPr>
          <w:rFonts w:ascii="Century Gothic" w:eastAsia="Times New Roman" w:hAnsi="Century Gothic" w:cs="Arial"/>
          <w:color w:val="222222"/>
          <w:sz w:val="20"/>
          <w:szCs w:val="20"/>
        </w:rPr>
        <w:t xml:space="preserve">including the counties of </w:t>
      </w:r>
      <w:r w:rsidR="006C56AE" w:rsidRPr="00AE4A67">
        <w:rPr>
          <w:rFonts w:ascii="Century Gothic" w:eastAsia="Times New Roman" w:hAnsi="Century Gothic" w:cs="Arial"/>
          <w:color w:val="222222"/>
          <w:sz w:val="20"/>
          <w:szCs w:val="20"/>
        </w:rPr>
        <w:t>Adams</w:t>
      </w:r>
      <w:r w:rsidR="006C56AE">
        <w:rPr>
          <w:rFonts w:ascii="Century Gothic" w:eastAsia="Times New Roman" w:hAnsi="Century Gothic" w:cs="Arial"/>
          <w:color w:val="222222"/>
          <w:sz w:val="20"/>
          <w:szCs w:val="20"/>
        </w:rPr>
        <w:t>,</w:t>
      </w:r>
      <w:r w:rsidR="006C56AE" w:rsidRPr="00AE4A67">
        <w:rPr>
          <w:rFonts w:ascii="Century Gothic" w:eastAsia="Times New Roman" w:hAnsi="Century Gothic" w:cs="Arial"/>
          <w:color w:val="222222"/>
          <w:sz w:val="20"/>
          <w:szCs w:val="20"/>
        </w:rPr>
        <w:t xml:space="preserve"> </w:t>
      </w:r>
      <w:r w:rsidRPr="00AE4A67">
        <w:rPr>
          <w:rFonts w:ascii="Century Gothic" w:eastAsia="Times New Roman" w:hAnsi="Century Gothic" w:cs="Arial"/>
          <w:color w:val="222222"/>
          <w:sz w:val="20"/>
          <w:szCs w:val="20"/>
        </w:rPr>
        <w:t xml:space="preserve">Calumet, </w:t>
      </w:r>
      <w:r w:rsidR="006C56AE" w:rsidRPr="00AE4A67">
        <w:rPr>
          <w:rFonts w:ascii="Century Gothic" w:eastAsia="Times New Roman" w:hAnsi="Century Gothic" w:cs="Arial"/>
          <w:color w:val="222222"/>
          <w:sz w:val="21"/>
          <w:szCs w:val="21"/>
        </w:rPr>
        <w:t>Fon</w:t>
      </w:r>
      <w:r w:rsidR="006C56AE">
        <w:rPr>
          <w:rFonts w:ascii="Century Gothic" w:eastAsia="Times New Roman" w:hAnsi="Century Gothic" w:cs="Arial"/>
          <w:color w:val="222222"/>
          <w:sz w:val="21"/>
          <w:szCs w:val="21"/>
        </w:rPr>
        <w:t>d</w:t>
      </w:r>
      <w:r w:rsidR="006C56AE" w:rsidRPr="00AE4A67">
        <w:rPr>
          <w:rFonts w:ascii="Century Gothic" w:eastAsia="Times New Roman" w:hAnsi="Century Gothic" w:cs="Arial"/>
          <w:color w:val="222222"/>
          <w:sz w:val="21"/>
          <w:szCs w:val="21"/>
        </w:rPr>
        <w:t xml:space="preserve"> du </w:t>
      </w:r>
      <w:r w:rsidR="006C56AE">
        <w:rPr>
          <w:rFonts w:ascii="Century Gothic" w:eastAsia="Times New Roman" w:hAnsi="Century Gothic" w:cs="Arial"/>
          <w:color w:val="222222"/>
          <w:sz w:val="21"/>
          <w:szCs w:val="21"/>
        </w:rPr>
        <w:t>L</w:t>
      </w:r>
      <w:r w:rsidR="006C56AE" w:rsidRPr="00AE4A67">
        <w:rPr>
          <w:rFonts w:ascii="Century Gothic" w:eastAsia="Times New Roman" w:hAnsi="Century Gothic" w:cs="Arial"/>
          <w:color w:val="222222"/>
          <w:sz w:val="21"/>
          <w:szCs w:val="21"/>
        </w:rPr>
        <w:t>ac</w:t>
      </w:r>
      <w:r w:rsidR="006C56AE">
        <w:rPr>
          <w:rFonts w:ascii="Century Gothic" w:eastAsia="Times New Roman" w:hAnsi="Century Gothic" w:cs="Arial"/>
          <w:color w:val="222222"/>
          <w:sz w:val="21"/>
          <w:szCs w:val="21"/>
        </w:rPr>
        <w:t xml:space="preserve">, </w:t>
      </w:r>
      <w:r w:rsidR="006C56AE" w:rsidRPr="00AE4A67">
        <w:rPr>
          <w:rFonts w:ascii="Century Gothic" w:eastAsia="Times New Roman" w:hAnsi="Century Gothic" w:cs="Arial"/>
          <w:color w:val="222222"/>
          <w:sz w:val="21"/>
          <w:szCs w:val="21"/>
        </w:rPr>
        <w:t>Green Lake, Marquette,</w:t>
      </w:r>
      <w:r w:rsidR="006C56AE">
        <w:rPr>
          <w:rFonts w:ascii="Century Gothic" w:eastAsia="Times New Roman" w:hAnsi="Century Gothic" w:cs="Arial"/>
          <w:color w:val="222222"/>
          <w:sz w:val="21"/>
          <w:szCs w:val="21"/>
        </w:rPr>
        <w:t xml:space="preserve"> </w:t>
      </w:r>
      <w:r w:rsidR="00965523" w:rsidRPr="00AE4A67">
        <w:rPr>
          <w:rFonts w:ascii="Century Gothic" w:eastAsia="Times New Roman" w:hAnsi="Century Gothic" w:cs="Arial"/>
          <w:color w:val="222222"/>
          <w:sz w:val="20"/>
          <w:szCs w:val="20"/>
        </w:rPr>
        <w:t>Outagamie</w:t>
      </w:r>
      <w:r w:rsidRPr="00AE4A67">
        <w:rPr>
          <w:rFonts w:ascii="Century Gothic" w:eastAsia="Times New Roman" w:hAnsi="Century Gothic" w:cs="Arial"/>
          <w:color w:val="222222"/>
          <w:sz w:val="20"/>
          <w:szCs w:val="20"/>
        </w:rPr>
        <w:t>, Waupaca,</w:t>
      </w:r>
      <w:r w:rsidRPr="00AE4A67">
        <w:rPr>
          <w:rFonts w:ascii="Century Gothic" w:eastAsia="Times New Roman" w:hAnsi="Century Gothic" w:cs="Arial"/>
          <w:color w:val="222222"/>
          <w:sz w:val="21"/>
          <w:szCs w:val="21"/>
        </w:rPr>
        <w:t xml:space="preserve"> Waushara, </w:t>
      </w:r>
      <w:r w:rsidR="006C56AE">
        <w:rPr>
          <w:rFonts w:ascii="Century Gothic" w:eastAsia="Times New Roman" w:hAnsi="Century Gothic" w:cs="Arial"/>
          <w:color w:val="222222"/>
          <w:sz w:val="21"/>
          <w:szCs w:val="21"/>
        </w:rPr>
        <w:t xml:space="preserve">and </w:t>
      </w:r>
      <w:r w:rsidR="00965523">
        <w:rPr>
          <w:rFonts w:ascii="Century Gothic" w:eastAsia="Times New Roman" w:hAnsi="Century Gothic" w:cs="Arial"/>
          <w:color w:val="222222"/>
          <w:sz w:val="21"/>
          <w:szCs w:val="21"/>
        </w:rPr>
        <w:t>Winnebago</w:t>
      </w:r>
      <w:r>
        <w:rPr>
          <w:rFonts w:ascii="Century Gothic" w:eastAsia="Times New Roman" w:hAnsi="Century Gothic" w:cs="Arial"/>
          <w:color w:val="222222"/>
          <w:sz w:val="21"/>
          <w:szCs w:val="21"/>
        </w:rPr>
        <w:t>).</w:t>
      </w:r>
      <w:r w:rsidR="00965523">
        <w:rPr>
          <w:rFonts w:ascii="Century Gothic" w:eastAsia="Times New Roman" w:hAnsi="Century Gothic" w:cs="Arial"/>
          <w:color w:val="222222"/>
          <w:sz w:val="21"/>
          <w:szCs w:val="21"/>
        </w:rPr>
        <w:t xml:space="preserve">  However, applications from throughout the state are welcome</w:t>
      </w:r>
      <w:r w:rsidR="006C56AE">
        <w:rPr>
          <w:rFonts w:ascii="Century Gothic" w:eastAsia="Times New Roman" w:hAnsi="Century Gothic" w:cs="Arial"/>
          <w:color w:val="222222"/>
          <w:sz w:val="21"/>
          <w:szCs w:val="21"/>
        </w:rPr>
        <w:t xml:space="preserve"> </w:t>
      </w:r>
      <w:proofErr w:type="gramStart"/>
      <w:r w:rsidR="006C56AE">
        <w:rPr>
          <w:rFonts w:ascii="Century Gothic" w:eastAsia="Times New Roman" w:hAnsi="Century Gothic" w:cs="Arial"/>
          <w:color w:val="222222"/>
          <w:sz w:val="21"/>
          <w:szCs w:val="21"/>
        </w:rPr>
        <w:t>at this time</w:t>
      </w:r>
      <w:proofErr w:type="gramEnd"/>
      <w:r w:rsidR="006C56AE">
        <w:rPr>
          <w:rFonts w:ascii="Century Gothic" w:eastAsia="Times New Roman" w:hAnsi="Century Gothic" w:cs="Arial"/>
          <w:color w:val="222222"/>
          <w:sz w:val="21"/>
          <w:szCs w:val="21"/>
        </w:rPr>
        <w:t xml:space="preserve">. </w:t>
      </w:r>
    </w:p>
    <w:p w14:paraId="51DB3EA6" w14:textId="77777777" w:rsidR="00965523" w:rsidRPr="00965523" w:rsidRDefault="00965523" w:rsidP="00AC60B9">
      <w:pPr>
        <w:rPr>
          <w:rFonts w:ascii="Century Gothic" w:eastAsia="Times New Roman" w:hAnsi="Century Gothic" w:cs="Arial"/>
          <w:color w:val="222222"/>
          <w:sz w:val="20"/>
          <w:szCs w:val="20"/>
        </w:rPr>
      </w:pPr>
    </w:p>
    <w:p w14:paraId="7E7AD637" w14:textId="62FF4B9B" w:rsidR="00B624DF" w:rsidRDefault="00057137" w:rsidP="00AC60B9">
      <w:pPr>
        <w:rPr>
          <w:rFonts w:ascii="Century Gothic" w:hAnsi="Century Gothic"/>
          <w:sz w:val="20"/>
          <w:szCs w:val="20"/>
        </w:rPr>
      </w:pPr>
      <w:r>
        <w:rPr>
          <w:rFonts w:ascii="Century Gothic" w:hAnsi="Century Gothic"/>
          <w:sz w:val="20"/>
          <w:szCs w:val="20"/>
        </w:rPr>
        <w:t xml:space="preserve">The </w:t>
      </w:r>
      <w:proofErr w:type="gramStart"/>
      <w:r>
        <w:rPr>
          <w:rFonts w:ascii="Century Gothic" w:hAnsi="Century Gothic"/>
          <w:sz w:val="20"/>
          <w:szCs w:val="20"/>
        </w:rPr>
        <w:t>ultimate goal</w:t>
      </w:r>
      <w:proofErr w:type="gramEnd"/>
      <w:r>
        <w:rPr>
          <w:rFonts w:ascii="Century Gothic" w:hAnsi="Century Gothic"/>
          <w:sz w:val="20"/>
          <w:szCs w:val="20"/>
        </w:rPr>
        <w:t xml:space="preserve"> of the Remember Project </w:t>
      </w:r>
      <w:r w:rsidR="007C5896">
        <w:rPr>
          <w:rFonts w:ascii="Century Gothic" w:hAnsi="Century Gothic"/>
          <w:sz w:val="20"/>
          <w:szCs w:val="20"/>
        </w:rPr>
        <w:t>(</w:t>
      </w:r>
      <w:hyperlink r:id="rId7" w:history="1">
        <w:r w:rsidR="007C5896" w:rsidRPr="00080780">
          <w:rPr>
            <w:rStyle w:val="Hyperlink"/>
            <w:rFonts w:ascii="Century Gothic" w:hAnsi="Century Gothic"/>
            <w:sz w:val="20"/>
            <w:szCs w:val="20"/>
          </w:rPr>
          <w:t>www.rememberproject.org</w:t>
        </w:r>
      </w:hyperlink>
      <w:r w:rsidR="007C5896">
        <w:rPr>
          <w:rFonts w:ascii="Century Gothic" w:hAnsi="Century Gothic"/>
          <w:sz w:val="20"/>
          <w:szCs w:val="20"/>
        </w:rPr>
        <w:t xml:space="preserve">) </w:t>
      </w:r>
      <w:r w:rsidR="00B624DF" w:rsidRPr="00AC60B9">
        <w:rPr>
          <w:rFonts w:ascii="Century Gothic" w:hAnsi="Century Gothic"/>
          <w:sz w:val="20"/>
          <w:szCs w:val="20"/>
        </w:rPr>
        <w:t>is to assist community members and leaders consider new ways to think about memory loss and to become aware of local resources that support families who are dealing with a diagnosis of d</w:t>
      </w:r>
      <w:r w:rsidR="004B508B">
        <w:rPr>
          <w:rFonts w:ascii="Century Gothic" w:hAnsi="Century Gothic"/>
          <w:sz w:val="20"/>
          <w:szCs w:val="20"/>
        </w:rPr>
        <w:t>ementia or Alzheimer’s d</w:t>
      </w:r>
      <w:r>
        <w:rPr>
          <w:rFonts w:ascii="Century Gothic" w:hAnsi="Century Gothic"/>
          <w:sz w:val="20"/>
          <w:szCs w:val="20"/>
        </w:rPr>
        <w:t xml:space="preserve">isease.  </w:t>
      </w:r>
      <w:r w:rsidR="00B624DF" w:rsidRPr="00AC60B9">
        <w:rPr>
          <w:rFonts w:ascii="Century Gothic" w:hAnsi="Century Gothic"/>
          <w:sz w:val="20"/>
          <w:szCs w:val="20"/>
        </w:rPr>
        <w:t xml:space="preserve">This program takes a unique approach to building awareness, sharing information, and inviting authentic community conversations. </w:t>
      </w:r>
    </w:p>
    <w:p w14:paraId="77046953" w14:textId="77777777" w:rsidR="00965523" w:rsidRDefault="00965523" w:rsidP="00AC60B9">
      <w:pPr>
        <w:rPr>
          <w:rFonts w:ascii="Century Gothic" w:hAnsi="Century Gothic"/>
          <w:sz w:val="20"/>
          <w:szCs w:val="20"/>
        </w:rPr>
      </w:pPr>
    </w:p>
    <w:p w14:paraId="397124BC" w14:textId="25AAB5F9" w:rsidR="007C5896" w:rsidRDefault="007C5896" w:rsidP="00AC60B9">
      <w:pPr>
        <w:rPr>
          <w:rFonts w:ascii="Century Gothic" w:hAnsi="Century Gothic"/>
          <w:sz w:val="20"/>
          <w:szCs w:val="20"/>
        </w:rPr>
      </w:pPr>
      <w:r>
        <w:rPr>
          <w:rFonts w:ascii="Century Gothic" w:hAnsi="Century Gothic"/>
          <w:sz w:val="20"/>
          <w:szCs w:val="20"/>
        </w:rPr>
        <w:t>“</w:t>
      </w:r>
      <w:r w:rsidR="002345C6">
        <w:rPr>
          <w:rFonts w:ascii="Century Gothic" w:hAnsi="Century Gothic"/>
          <w:sz w:val="20"/>
          <w:szCs w:val="20"/>
        </w:rPr>
        <w:t xml:space="preserve">We are launching </w:t>
      </w:r>
      <w:r w:rsidR="00965523">
        <w:rPr>
          <w:rFonts w:ascii="Century Gothic" w:hAnsi="Century Gothic"/>
          <w:sz w:val="20"/>
          <w:szCs w:val="20"/>
        </w:rPr>
        <w:t xml:space="preserve">our </w:t>
      </w:r>
      <w:r w:rsidR="00707E2E">
        <w:rPr>
          <w:rFonts w:ascii="Century Gothic" w:hAnsi="Century Gothic"/>
          <w:sz w:val="20"/>
          <w:szCs w:val="20"/>
        </w:rPr>
        <w:t>Wisconsin</w:t>
      </w:r>
      <w:r w:rsidR="002345C6">
        <w:rPr>
          <w:rFonts w:ascii="Century Gothic" w:hAnsi="Century Gothic"/>
          <w:sz w:val="20"/>
          <w:szCs w:val="20"/>
        </w:rPr>
        <w:t xml:space="preserve"> distance-learning professional opportunity in </w:t>
      </w:r>
      <w:r w:rsidR="00707E2E">
        <w:rPr>
          <w:rFonts w:ascii="Century Gothic" w:hAnsi="Century Gothic"/>
          <w:sz w:val="20"/>
          <w:szCs w:val="20"/>
        </w:rPr>
        <w:t>September</w:t>
      </w:r>
      <w:r w:rsidR="002345C6">
        <w:rPr>
          <w:rFonts w:ascii="Century Gothic" w:hAnsi="Century Gothic"/>
          <w:sz w:val="20"/>
          <w:szCs w:val="20"/>
        </w:rPr>
        <w:t>,” said Remember Project Founder, Danette McCarthy, “and we are excited to help communities grow stronger in their use of the arts to reduce the fear, stigma, and isolation associated with memory loss.”</w:t>
      </w:r>
    </w:p>
    <w:p w14:paraId="2113E288" w14:textId="77777777" w:rsidR="006C56AE" w:rsidRDefault="006C56AE" w:rsidP="00AC60B9">
      <w:pPr>
        <w:rPr>
          <w:rFonts w:ascii="Century Gothic" w:hAnsi="Century Gothic"/>
          <w:sz w:val="20"/>
          <w:szCs w:val="20"/>
        </w:rPr>
      </w:pPr>
    </w:p>
    <w:p w14:paraId="329E1A7D" w14:textId="12E6436A" w:rsidR="002345C6" w:rsidRDefault="002345C6" w:rsidP="00AC60B9">
      <w:pPr>
        <w:rPr>
          <w:rFonts w:ascii="Century Gothic" w:hAnsi="Century Gothic"/>
          <w:sz w:val="20"/>
          <w:szCs w:val="20"/>
        </w:rPr>
      </w:pPr>
      <w:r>
        <w:rPr>
          <w:rFonts w:ascii="Century Gothic" w:hAnsi="Century Gothic"/>
          <w:sz w:val="20"/>
          <w:szCs w:val="20"/>
        </w:rPr>
        <w:t xml:space="preserve">The Arts &amp; Aging </w:t>
      </w:r>
      <w:r w:rsidR="00965523">
        <w:rPr>
          <w:rFonts w:ascii="Century Gothic" w:hAnsi="Century Gothic"/>
          <w:sz w:val="20"/>
          <w:szCs w:val="20"/>
        </w:rPr>
        <w:t>Partnership</w:t>
      </w:r>
      <w:r>
        <w:rPr>
          <w:rFonts w:ascii="Century Gothic" w:hAnsi="Century Gothic"/>
          <w:sz w:val="20"/>
          <w:szCs w:val="20"/>
        </w:rPr>
        <w:t xml:space="preserve"> </w:t>
      </w:r>
      <w:r w:rsidR="00965523">
        <w:rPr>
          <w:rFonts w:ascii="Century Gothic" w:hAnsi="Century Gothic"/>
          <w:sz w:val="20"/>
          <w:szCs w:val="20"/>
        </w:rPr>
        <w:t>is</w:t>
      </w:r>
      <w:r>
        <w:rPr>
          <w:rFonts w:ascii="Century Gothic" w:hAnsi="Century Gothic"/>
          <w:sz w:val="20"/>
          <w:szCs w:val="20"/>
        </w:rPr>
        <w:t xml:space="preserve"> created within a framework of strengthening the relationships and connections between artists and those who work or volunteer in the field of Aging.   The workshops use the art forms of theatre, music, movement, storytelling, and visual art for exploratory learning and conversation.   Participants will join a cohort of learners</w:t>
      </w:r>
      <w:r w:rsidR="001C7559">
        <w:rPr>
          <w:rFonts w:ascii="Century Gothic" w:hAnsi="Century Gothic"/>
          <w:sz w:val="20"/>
          <w:szCs w:val="20"/>
        </w:rPr>
        <w:t xml:space="preserve"> who</w:t>
      </w:r>
      <w:r>
        <w:rPr>
          <w:rFonts w:ascii="Century Gothic" w:hAnsi="Century Gothic"/>
          <w:sz w:val="20"/>
          <w:szCs w:val="20"/>
        </w:rPr>
        <w:t xml:space="preserve"> work together for about 5 months and experience six learning modules.  Each module includes independent pre-work guided by pre-recorded videos, a virtual meeting to discuss pre-work and learn about successful arts partnerships, and a reflection activity to wrap up the module.   </w:t>
      </w:r>
    </w:p>
    <w:p w14:paraId="26B50257" w14:textId="77777777" w:rsidR="006C56AE" w:rsidRDefault="006C56AE" w:rsidP="00AC60B9">
      <w:pPr>
        <w:rPr>
          <w:rFonts w:ascii="Century Gothic" w:hAnsi="Century Gothic"/>
          <w:sz w:val="20"/>
          <w:szCs w:val="20"/>
        </w:rPr>
      </w:pPr>
    </w:p>
    <w:p w14:paraId="1B553BA0" w14:textId="09278C5D" w:rsidR="00703CB5" w:rsidRDefault="00703CB5" w:rsidP="00AC60B9">
      <w:pPr>
        <w:rPr>
          <w:rFonts w:ascii="Century Gothic" w:eastAsia="Arial Narrow" w:hAnsi="Century Gothic" w:cs="Arial Narrow"/>
          <w:sz w:val="20"/>
          <w:szCs w:val="20"/>
        </w:rPr>
      </w:pPr>
      <w:r w:rsidRPr="00703CB5">
        <w:rPr>
          <w:rFonts w:ascii="Century Gothic" w:eastAsia="Arial Narrow" w:hAnsi="Century Gothic" w:cs="Arial Narrow"/>
          <w:sz w:val="20"/>
          <w:szCs w:val="20"/>
        </w:rPr>
        <w:t xml:space="preserve">The arts are a powerful tool in helping older adults be recognized as valued community members, enabled to stay active and independent as long as possible.  Far too often, incorporating the arts into service goals &amp; </w:t>
      </w:r>
      <w:r w:rsidRPr="00703CB5">
        <w:rPr>
          <w:rFonts w:ascii="Century Gothic" w:eastAsia="Arial Narrow" w:hAnsi="Century Gothic" w:cs="Arial Narrow"/>
          <w:sz w:val="20"/>
          <w:szCs w:val="20"/>
        </w:rPr>
        <w:lastRenderedPageBreak/>
        <w:t xml:space="preserve">outcomes can feel mysterious, alienating or cumbersome to those who have not had this training or experience.  The Arts &amp; Aging Partnership sets the stage for new ways of thinking about </w:t>
      </w:r>
      <w:r w:rsidR="001C7559">
        <w:rPr>
          <w:rFonts w:ascii="Century Gothic" w:eastAsia="Arial Narrow" w:hAnsi="Century Gothic" w:cs="Arial Narrow"/>
          <w:sz w:val="20"/>
          <w:szCs w:val="20"/>
        </w:rPr>
        <w:t>arts partnerships that</w:t>
      </w:r>
      <w:r w:rsidRPr="00703CB5">
        <w:rPr>
          <w:rFonts w:ascii="Century Gothic" w:eastAsia="Arial Narrow" w:hAnsi="Century Gothic" w:cs="Arial Narrow"/>
          <w:sz w:val="20"/>
          <w:szCs w:val="20"/>
        </w:rPr>
        <w:t xml:space="preserve"> support service goals. </w:t>
      </w:r>
    </w:p>
    <w:p w14:paraId="4D408D92" w14:textId="77777777" w:rsidR="006C56AE" w:rsidRPr="00703CB5" w:rsidRDefault="006C56AE" w:rsidP="00AC60B9">
      <w:pPr>
        <w:rPr>
          <w:rFonts w:ascii="Century Gothic" w:eastAsia="Arial Narrow" w:hAnsi="Century Gothic" w:cs="Arial Narrow"/>
          <w:sz w:val="20"/>
          <w:szCs w:val="20"/>
        </w:rPr>
      </w:pPr>
    </w:p>
    <w:p w14:paraId="13F0EAEE" w14:textId="755B12B1" w:rsidR="002345C6" w:rsidRDefault="002345C6" w:rsidP="00AC60B9">
      <w:pPr>
        <w:rPr>
          <w:rFonts w:ascii="Century Gothic" w:hAnsi="Century Gothic"/>
          <w:sz w:val="20"/>
          <w:szCs w:val="20"/>
        </w:rPr>
      </w:pPr>
      <w:r>
        <w:rPr>
          <w:rFonts w:ascii="Century Gothic" w:hAnsi="Century Gothic"/>
          <w:sz w:val="20"/>
          <w:szCs w:val="20"/>
        </w:rPr>
        <w:t>“Our ultimate goal,” said Pro</w:t>
      </w:r>
      <w:r w:rsidR="003422D6">
        <w:rPr>
          <w:rFonts w:ascii="Century Gothic" w:hAnsi="Century Gothic"/>
          <w:sz w:val="20"/>
          <w:szCs w:val="20"/>
        </w:rPr>
        <w:t>gram</w:t>
      </w:r>
      <w:r>
        <w:rPr>
          <w:rFonts w:ascii="Century Gothic" w:hAnsi="Century Gothic"/>
          <w:sz w:val="20"/>
          <w:szCs w:val="20"/>
        </w:rPr>
        <w:t xml:space="preserve"> Director, Allison </w:t>
      </w:r>
      <w:proofErr w:type="spellStart"/>
      <w:r>
        <w:rPr>
          <w:rFonts w:ascii="Century Gothic" w:hAnsi="Century Gothic"/>
          <w:sz w:val="20"/>
          <w:szCs w:val="20"/>
        </w:rPr>
        <w:t>Kodeih</w:t>
      </w:r>
      <w:proofErr w:type="spellEnd"/>
      <w:r>
        <w:rPr>
          <w:rFonts w:ascii="Century Gothic" w:hAnsi="Century Gothic"/>
          <w:sz w:val="20"/>
          <w:szCs w:val="20"/>
        </w:rPr>
        <w:t xml:space="preserve">, “is to support those who provide services to older </w:t>
      </w:r>
      <w:r w:rsidR="00965523">
        <w:rPr>
          <w:rFonts w:ascii="Century Gothic" w:hAnsi="Century Gothic"/>
          <w:sz w:val="20"/>
          <w:szCs w:val="20"/>
        </w:rPr>
        <w:t>adults</w:t>
      </w:r>
      <w:r>
        <w:rPr>
          <w:rFonts w:ascii="Century Gothic" w:hAnsi="Century Gothic"/>
          <w:sz w:val="20"/>
          <w:szCs w:val="20"/>
        </w:rPr>
        <w:t xml:space="preserve"> who may lack access</w:t>
      </w:r>
      <w:r w:rsidR="00703CB5">
        <w:rPr>
          <w:rFonts w:ascii="Century Gothic" w:hAnsi="Century Gothic"/>
          <w:sz w:val="20"/>
          <w:szCs w:val="20"/>
        </w:rPr>
        <w:t xml:space="preserve"> or have barriers to creative opportunities.  Thriving through engagement in the arts and creating community connection --- while reducing isolation --- is key to living full lives as we grow older.”</w:t>
      </w:r>
    </w:p>
    <w:p w14:paraId="589A5698" w14:textId="77777777" w:rsidR="00703CB5" w:rsidRDefault="00703CB5" w:rsidP="00AC60B9">
      <w:pPr>
        <w:rPr>
          <w:rFonts w:ascii="Century Gothic" w:hAnsi="Century Gothic"/>
          <w:sz w:val="20"/>
          <w:szCs w:val="20"/>
        </w:rPr>
      </w:pPr>
    </w:p>
    <w:p w14:paraId="7091B552" w14:textId="26148163" w:rsidR="00B624DF" w:rsidRPr="00AC60B9" w:rsidRDefault="00703CB5" w:rsidP="00B624DF">
      <w:pPr>
        <w:rPr>
          <w:rFonts w:ascii="Century Gothic" w:hAnsi="Century Gothic"/>
          <w:sz w:val="20"/>
          <w:szCs w:val="20"/>
        </w:rPr>
      </w:pPr>
      <w:r>
        <w:rPr>
          <w:rFonts w:ascii="Century Gothic" w:hAnsi="Century Gothic"/>
          <w:sz w:val="20"/>
          <w:szCs w:val="20"/>
        </w:rPr>
        <w:t xml:space="preserve">Learn more and apply to participate in the first </w:t>
      </w:r>
      <w:r w:rsidR="003422D6">
        <w:rPr>
          <w:rFonts w:ascii="Century Gothic" w:hAnsi="Century Gothic"/>
          <w:sz w:val="20"/>
          <w:szCs w:val="20"/>
        </w:rPr>
        <w:t>Wisconsin</w:t>
      </w:r>
      <w:r>
        <w:rPr>
          <w:rFonts w:ascii="Century Gothic" w:hAnsi="Century Gothic"/>
          <w:sz w:val="20"/>
          <w:szCs w:val="20"/>
        </w:rPr>
        <w:t xml:space="preserve"> Arts &amp; Aging</w:t>
      </w:r>
      <w:r w:rsidR="00965523">
        <w:rPr>
          <w:rFonts w:ascii="Century Gothic" w:hAnsi="Century Gothic"/>
          <w:sz w:val="20"/>
          <w:szCs w:val="20"/>
        </w:rPr>
        <w:t xml:space="preserve"> Partnership</w:t>
      </w:r>
      <w:r>
        <w:rPr>
          <w:rFonts w:ascii="Century Gothic" w:hAnsi="Century Gothic"/>
          <w:sz w:val="20"/>
          <w:szCs w:val="20"/>
        </w:rPr>
        <w:t xml:space="preserve"> Cohort by going to the Coming Up page of The Remember Project website (</w:t>
      </w:r>
      <w:hyperlink r:id="rId8" w:history="1">
        <w:r w:rsidRPr="00080780">
          <w:rPr>
            <w:rStyle w:val="Hyperlink"/>
            <w:rFonts w:ascii="Century Gothic" w:hAnsi="Century Gothic"/>
            <w:sz w:val="20"/>
            <w:szCs w:val="20"/>
          </w:rPr>
          <w:t>www.rememberproject.org</w:t>
        </w:r>
      </w:hyperlink>
      <w:r>
        <w:rPr>
          <w:rFonts w:ascii="Century Gothic" w:hAnsi="Century Gothic"/>
          <w:sz w:val="20"/>
          <w:szCs w:val="20"/>
        </w:rPr>
        <w:t>) or by reaching Pr</w:t>
      </w:r>
      <w:r w:rsidR="003422D6">
        <w:rPr>
          <w:rFonts w:ascii="Century Gothic" w:hAnsi="Century Gothic"/>
          <w:sz w:val="20"/>
          <w:szCs w:val="20"/>
        </w:rPr>
        <w:t>ogram</w:t>
      </w:r>
      <w:r>
        <w:rPr>
          <w:rFonts w:ascii="Century Gothic" w:hAnsi="Century Gothic"/>
          <w:sz w:val="20"/>
          <w:szCs w:val="20"/>
        </w:rPr>
        <w:t xml:space="preserve"> Direct</w:t>
      </w:r>
      <w:r w:rsidR="003422D6">
        <w:rPr>
          <w:rFonts w:ascii="Century Gothic" w:hAnsi="Century Gothic"/>
          <w:sz w:val="20"/>
          <w:szCs w:val="20"/>
        </w:rPr>
        <w:t xml:space="preserve">or </w:t>
      </w:r>
      <w:r>
        <w:rPr>
          <w:rFonts w:ascii="Century Gothic" w:hAnsi="Century Gothic"/>
          <w:sz w:val="20"/>
          <w:szCs w:val="20"/>
        </w:rPr>
        <w:t xml:space="preserve">Allison </w:t>
      </w:r>
      <w:proofErr w:type="spellStart"/>
      <w:r>
        <w:rPr>
          <w:rFonts w:ascii="Century Gothic" w:hAnsi="Century Gothic"/>
          <w:sz w:val="20"/>
          <w:szCs w:val="20"/>
        </w:rPr>
        <w:t>Kodeih</w:t>
      </w:r>
      <w:proofErr w:type="spellEnd"/>
      <w:r>
        <w:rPr>
          <w:rFonts w:ascii="Century Gothic" w:hAnsi="Century Gothic"/>
          <w:sz w:val="20"/>
          <w:szCs w:val="20"/>
        </w:rPr>
        <w:t xml:space="preserve"> at </w:t>
      </w:r>
      <w:hyperlink r:id="rId9" w:history="1">
        <w:r w:rsidRPr="00080780">
          <w:rPr>
            <w:rStyle w:val="Hyperlink"/>
            <w:rFonts w:ascii="Century Gothic" w:hAnsi="Century Gothic"/>
            <w:sz w:val="20"/>
            <w:szCs w:val="20"/>
          </w:rPr>
          <w:t>akodeih@rememberproject.org</w:t>
        </w:r>
      </w:hyperlink>
      <w:r>
        <w:rPr>
          <w:rFonts w:ascii="Century Gothic" w:hAnsi="Century Gothic"/>
          <w:sz w:val="20"/>
          <w:szCs w:val="20"/>
        </w:rPr>
        <w:t xml:space="preserve">.    You can also reach Allison or other Remember Project artists at 651.251.5771.  Applications are due on </w:t>
      </w:r>
      <w:r w:rsidR="003422D6">
        <w:rPr>
          <w:rFonts w:ascii="Century Gothic" w:hAnsi="Century Gothic"/>
          <w:sz w:val="20"/>
          <w:szCs w:val="20"/>
        </w:rPr>
        <w:t>August 20th</w:t>
      </w:r>
      <w:r>
        <w:rPr>
          <w:rFonts w:ascii="Century Gothic" w:hAnsi="Century Gothic"/>
          <w:sz w:val="20"/>
          <w:szCs w:val="20"/>
        </w:rPr>
        <w:t xml:space="preserve"> for th</w:t>
      </w:r>
      <w:r w:rsidR="003422D6">
        <w:rPr>
          <w:rFonts w:ascii="Century Gothic" w:hAnsi="Century Gothic"/>
          <w:sz w:val="20"/>
          <w:szCs w:val="20"/>
        </w:rPr>
        <w:t xml:space="preserve">is </w:t>
      </w:r>
      <w:r>
        <w:rPr>
          <w:rFonts w:ascii="Century Gothic" w:hAnsi="Century Gothic"/>
          <w:sz w:val="20"/>
          <w:szCs w:val="20"/>
        </w:rPr>
        <w:t>cohort of learners.</w:t>
      </w:r>
      <w:r w:rsidR="00B624DF" w:rsidRPr="00AC60B9">
        <w:rPr>
          <w:rFonts w:ascii="Century Gothic" w:hAnsi="Century Gothic"/>
          <w:b/>
          <w:sz w:val="20"/>
          <w:szCs w:val="20"/>
        </w:rPr>
        <w:br/>
      </w:r>
    </w:p>
    <w:p w14:paraId="5EAE3B05" w14:textId="157EB6CE" w:rsidR="00B624DF" w:rsidRDefault="00B624DF" w:rsidP="00AC60B9">
      <w:pPr>
        <w:jc w:val="center"/>
        <w:rPr>
          <w:rFonts w:ascii="Century Gothic" w:hAnsi="Century Gothic"/>
        </w:rPr>
      </w:pPr>
      <w:r w:rsidRPr="00AC60B9">
        <w:rPr>
          <w:rFonts w:ascii="Century Gothic" w:hAnsi="Century Gothic"/>
          <w:b/>
          <w:sz w:val="20"/>
          <w:szCs w:val="20"/>
        </w:rPr>
        <w:t>#</w:t>
      </w:r>
      <w:r w:rsidR="00703CB5">
        <w:rPr>
          <w:rFonts w:ascii="Century Gothic" w:hAnsi="Century Gothic"/>
          <w:b/>
          <w:sz w:val="20"/>
          <w:szCs w:val="20"/>
        </w:rPr>
        <w:t xml:space="preserve"># </w:t>
      </w:r>
      <w:r w:rsidR="003422D6">
        <w:rPr>
          <w:rFonts w:ascii="Century Gothic" w:hAnsi="Century Gothic"/>
          <w:b/>
          <w:sz w:val="20"/>
          <w:szCs w:val="20"/>
        </w:rPr>
        <w:t>0</w:t>
      </w:r>
      <w:r w:rsidR="00965523">
        <w:rPr>
          <w:rFonts w:ascii="Century Gothic" w:hAnsi="Century Gothic"/>
          <w:b/>
          <w:sz w:val="20"/>
          <w:szCs w:val="20"/>
        </w:rPr>
        <w:t>8</w:t>
      </w:r>
      <w:r w:rsidR="00703CB5">
        <w:rPr>
          <w:rFonts w:ascii="Century Gothic" w:hAnsi="Century Gothic"/>
          <w:b/>
          <w:sz w:val="20"/>
          <w:szCs w:val="20"/>
        </w:rPr>
        <w:t>.</w:t>
      </w:r>
      <w:r w:rsidR="00965523">
        <w:rPr>
          <w:rFonts w:ascii="Century Gothic" w:hAnsi="Century Gothic"/>
          <w:b/>
          <w:sz w:val="20"/>
          <w:szCs w:val="20"/>
        </w:rPr>
        <w:t>02</w:t>
      </w:r>
      <w:r w:rsidR="003422D6">
        <w:rPr>
          <w:rFonts w:ascii="Century Gothic" w:hAnsi="Century Gothic"/>
          <w:b/>
          <w:sz w:val="20"/>
          <w:szCs w:val="20"/>
        </w:rPr>
        <w:t>.</w:t>
      </w:r>
      <w:r w:rsidR="00703CB5">
        <w:rPr>
          <w:rFonts w:ascii="Century Gothic" w:hAnsi="Century Gothic"/>
          <w:b/>
          <w:sz w:val="20"/>
          <w:szCs w:val="20"/>
        </w:rPr>
        <w:t>2021</w:t>
      </w:r>
      <w:r w:rsidRPr="00AC60B9">
        <w:rPr>
          <w:rFonts w:ascii="Century Gothic" w:hAnsi="Century Gothic"/>
          <w:b/>
          <w:sz w:val="20"/>
          <w:szCs w:val="20"/>
        </w:rPr>
        <w:t>##</w:t>
      </w:r>
    </w:p>
    <w:p w14:paraId="521E887A" w14:textId="7D23D5AE" w:rsidR="001C135A" w:rsidRDefault="001C135A" w:rsidP="00163918">
      <w:pPr>
        <w:rPr>
          <w:b/>
        </w:rPr>
      </w:pPr>
    </w:p>
    <w:p w14:paraId="62C9723D" w14:textId="11C57FFA" w:rsidR="006C56AE" w:rsidRPr="006C56AE" w:rsidRDefault="006C56AE" w:rsidP="00163918">
      <w:pPr>
        <w:rPr>
          <w:bCs/>
        </w:rPr>
      </w:pPr>
      <w:r>
        <w:rPr>
          <w:b/>
        </w:rPr>
        <w:t xml:space="preserve">Photo:   </w:t>
      </w:r>
      <w:r>
        <w:rPr>
          <w:bCs/>
        </w:rPr>
        <w:t>The arts provide engaging activities for the body, mind, and spirit for a vibrant elderhood.</w:t>
      </w:r>
    </w:p>
    <w:sectPr w:rsidR="006C56AE" w:rsidRPr="006C56AE" w:rsidSect="00AC60B9">
      <w:pgSz w:w="12240" w:h="15840"/>
      <w:pgMar w:top="864" w:right="720" w:bottom="648"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7B8D92" w14:textId="77777777" w:rsidR="00516430" w:rsidRDefault="00516430" w:rsidP="003F09F0">
      <w:pPr>
        <w:spacing w:after="0" w:line="240" w:lineRule="auto"/>
      </w:pPr>
      <w:r>
        <w:separator/>
      </w:r>
    </w:p>
  </w:endnote>
  <w:endnote w:type="continuationSeparator" w:id="0">
    <w:p w14:paraId="4A7982C2" w14:textId="77777777" w:rsidR="00516430" w:rsidRDefault="00516430" w:rsidP="003F0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1513FF" w14:textId="77777777" w:rsidR="00516430" w:rsidRDefault="00516430" w:rsidP="003F09F0">
      <w:pPr>
        <w:spacing w:after="0" w:line="240" w:lineRule="auto"/>
      </w:pPr>
      <w:r>
        <w:separator/>
      </w:r>
    </w:p>
  </w:footnote>
  <w:footnote w:type="continuationSeparator" w:id="0">
    <w:p w14:paraId="403422C2" w14:textId="77777777" w:rsidR="00516430" w:rsidRDefault="00516430" w:rsidP="003F09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DE8"/>
    <w:rsid w:val="00057137"/>
    <w:rsid w:val="00071546"/>
    <w:rsid w:val="00092415"/>
    <w:rsid w:val="000B492C"/>
    <w:rsid w:val="00103C47"/>
    <w:rsid w:val="00141C99"/>
    <w:rsid w:val="00163918"/>
    <w:rsid w:val="0018247B"/>
    <w:rsid w:val="001B7F8B"/>
    <w:rsid w:val="001C135A"/>
    <w:rsid w:val="001C7559"/>
    <w:rsid w:val="00206271"/>
    <w:rsid w:val="002345C6"/>
    <w:rsid w:val="00242605"/>
    <w:rsid w:val="002445D6"/>
    <w:rsid w:val="002A79D2"/>
    <w:rsid w:val="002B5F3A"/>
    <w:rsid w:val="002C17F0"/>
    <w:rsid w:val="002F6DA0"/>
    <w:rsid w:val="003261AB"/>
    <w:rsid w:val="003422D6"/>
    <w:rsid w:val="00366FEB"/>
    <w:rsid w:val="003F09F0"/>
    <w:rsid w:val="004B508B"/>
    <w:rsid w:val="004B6632"/>
    <w:rsid w:val="00507B1A"/>
    <w:rsid w:val="00514917"/>
    <w:rsid w:val="00516430"/>
    <w:rsid w:val="00557B98"/>
    <w:rsid w:val="00563F23"/>
    <w:rsid w:val="00595287"/>
    <w:rsid w:val="005B54CE"/>
    <w:rsid w:val="005D33E7"/>
    <w:rsid w:val="00606037"/>
    <w:rsid w:val="006647E2"/>
    <w:rsid w:val="006B71B0"/>
    <w:rsid w:val="006C56AE"/>
    <w:rsid w:val="006D669E"/>
    <w:rsid w:val="00703CB5"/>
    <w:rsid w:val="00707E2E"/>
    <w:rsid w:val="007153B5"/>
    <w:rsid w:val="00777970"/>
    <w:rsid w:val="007A45E3"/>
    <w:rsid w:val="007C5896"/>
    <w:rsid w:val="00934FCB"/>
    <w:rsid w:val="00965523"/>
    <w:rsid w:val="009A0D39"/>
    <w:rsid w:val="009D5887"/>
    <w:rsid w:val="00A17DEA"/>
    <w:rsid w:val="00A2625B"/>
    <w:rsid w:val="00A7306E"/>
    <w:rsid w:val="00AA49E6"/>
    <w:rsid w:val="00AB1A76"/>
    <w:rsid w:val="00AC60B9"/>
    <w:rsid w:val="00AE4A67"/>
    <w:rsid w:val="00B624DF"/>
    <w:rsid w:val="00B76C2F"/>
    <w:rsid w:val="00BF7A20"/>
    <w:rsid w:val="00C86A67"/>
    <w:rsid w:val="00CA16D6"/>
    <w:rsid w:val="00CA2DBE"/>
    <w:rsid w:val="00CF6F41"/>
    <w:rsid w:val="00D552CA"/>
    <w:rsid w:val="00D808AE"/>
    <w:rsid w:val="00DE765A"/>
    <w:rsid w:val="00E2144E"/>
    <w:rsid w:val="00E2482E"/>
    <w:rsid w:val="00F15EF4"/>
    <w:rsid w:val="00F27DE8"/>
    <w:rsid w:val="00F86AA6"/>
    <w:rsid w:val="00F97C5D"/>
    <w:rsid w:val="00FD18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17A481"/>
  <w15:docId w15:val="{75DDC603-CA0E-4816-96DD-A2E299F9F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5F3A"/>
    <w:rPr>
      <w:color w:val="0563C1" w:themeColor="hyperlink"/>
      <w:u w:val="single"/>
    </w:rPr>
  </w:style>
  <w:style w:type="table" w:styleId="TableGrid">
    <w:name w:val="Table Grid"/>
    <w:basedOn w:val="TableNormal"/>
    <w:uiPriority w:val="39"/>
    <w:rsid w:val="0056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3F09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09F0"/>
  </w:style>
  <w:style w:type="paragraph" w:styleId="Footer">
    <w:name w:val="footer"/>
    <w:basedOn w:val="Normal"/>
    <w:link w:val="FooterChar"/>
    <w:uiPriority w:val="99"/>
    <w:unhideWhenUsed/>
    <w:rsid w:val="003F09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09F0"/>
  </w:style>
  <w:style w:type="character" w:styleId="UnresolvedMention">
    <w:name w:val="Unresolved Mention"/>
    <w:basedOn w:val="DefaultParagraphFont"/>
    <w:uiPriority w:val="99"/>
    <w:semiHidden/>
    <w:unhideWhenUsed/>
    <w:rsid w:val="00777970"/>
    <w:rPr>
      <w:color w:val="605E5C"/>
      <w:shd w:val="clear" w:color="auto" w:fill="E1DFDD"/>
    </w:rPr>
  </w:style>
  <w:style w:type="character" w:styleId="FollowedHyperlink">
    <w:name w:val="FollowedHyperlink"/>
    <w:basedOn w:val="DefaultParagraphFont"/>
    <w:uiPriority w:val="99"/>
    <w:semiHidden/>
    <w:unhideWhenUsed/>
    <w:rsid w:val="007C58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8558667">
      <w:bodyDiv w:val="1"/>
      <w:marLeft w:val="0"/>
      <w:marRight w:val="0"/>
      <w:marTop w:val="0"/>
      <w:marBottom w:val="0"/>
      <w:divBdr>
        <w:top w:val="none" w:sz="0" w:space="0" w:color="auto"/>
        <w:left w:val="none" w:sz="0" w:space="0" w:color="auto"/>
        <w:bottom w:val="none" w:sz="0" w:space="0" w:color="auto"/>
        <w:right w:val="none" w:sz="0" w:space="0" w:color="auto"/>
      </w:divBdr>
    </w:div>
    <w:div w:id="1987775951">
      <w:bodyDiv w:val="1"/>
      <w:marLeft w:val="0"/>
      <w:marRight w:val="0"/>
      <w:marTop w:val="0"/>
      <w:marBottom w:val="0"/>
      <w:divBdr>
        <w:top w:val="none" w:sz="0" w:space="0" w:color="auto"/>
        <w:left w:val="none" w:sz="0" w:space="0" w:color="auto"/>
        <w:bottom w:val="none" w:sz="0" w:space="0" w:color="auto"/>
        <w:right w:val="none" w:sz="0" w:space="0" w:color="auto"/>
      </w:divBdr>
      <w:divsChild>
        <w:div w:id="151989853">
          <w:blockQuote w:val="1"/>
          <w:marLeft w:val="600"/>
          <w:marRight w:val="0"/>
          <w:marTop w:val="0"/>
          <w:marBottom w:val="0"/>
          <w:divBdr>
            <w:top w:val="none" w:sz="0" w:space="0" w:color="auto"/>
            <w:left w:val="none" w:sz="0" w:space="0" w:color="auto"/>
            <w:bottom w:val="none" w:sz="0" w:space="0" w:color="auto"/>
            <w:right w:val="none" w:sz="0" w:space="0" w:color="auto"/>
          </w:divBdr>
          <w:divsChild>
            <w:div w:id="1360163678">
              <w:marLeft w:val="0"/>
              <w:marRight w:val="0"/>
              <w:marTop w:val="0"/>
              <w:marBottom w:val="0"/>
              <w:divBdr>
                <w:top w:val="none" w:sz="0" w:space="0" w:color="auto"/>
                <w:left w:val="none" w:sz="0" w:space="0" w:color="auto"/>
                <w:bottom w:val="none" w:sz="0" w:space="0" w:color="auto"/>
                <w:right w:val="none" w:sz="0" w:space="0" w:color="auto"/>
              </w:divBdr>
            </w:div>
          </w:divsChild>
        </w:div>
        <w:div w:id="1538082531">
          <w:blockQuote w:val="1"/>
          <w:marLeft w:val="600"/>
          <w:marRight w:val="0"/>
          <w:marTop w:val="0"/>
          <w:marBottom w:val="0"/>
          <w:divBdr>
            <w:top w:val="none" w:sz="0" w:space="0" w:color="auto"/>
            <w:left w:val="none" w:sz="0" w:space="0" w:color="auto"/>
            <w:bottom w:val="none" w:sz="0" w:space="0" w:color="auto"/>
            <w:right w:val="none" w:sz="0" w:space="0" w:color="auto"/>
          </w:divBdr>
          <w:divsChild>
            <w:div w:id="797332768">
              <w:marLeft w:val="0"/>
              <w:marRight w:val="0"/>
              <w:marTop w:val="0"/>
              <w:marBottom w:val="0"/>
              <w:divBdr>
                <w:top w:val="none" w:sz="0" w:space="0" w:color="auto"/>
                <w:left w:val="none" w:sz="0" w:space="0" w:color="auto"/>
                <w:bottom w:val="none" w:sz="0" w:space="0" w:color="auto"/>
                <w:right w:val="none" w:sz="0" w:space="0" w:color="auto"/>
              </w:divBdr>
            </w:div>
          </w:divsChild>
        </w:div>
        <w:div w:id="1904368049">
          <w:blockQuote w:val="1"/>
          <w:marLeft w:val="600"/>
          <w:marRight w:val="0"/>
          <w:marTop w:val="0"/>
          <w:marBottom w:val="0"/>
          <w:divBdr>
            <w:top w:val="none" w:sz="0" w:space="0" w:color="auto"/>
            <w:left w:val="none" w:sz="0" w:space="0" w:color="auto"/>
            <w:bottom w:val="none" w:sz="0" w:space="0" w:color="auto"/>
            <w:right w:val="none" w:sz="0" w:space="0" w:color="auto"/>
          </w:divBdr>
          <w:divsChild>
            <w:div w:id="37658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80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memberproject.org" TargetMode="External"/><Relationship Id="rId3" Type="http://schemas.openxmlformats.org/officeDocument/2006/relationships/webSettings" Target="webSettings.xml"/><Relationship Id="rId7" Type="http://schemas.openxmlformats.org/officeDocument/2006/relationships/hyperlink" Target="http://www.rememberproject.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akodeih@rememberprojec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578</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Angie Pilgrim</dc:creator>
  <cp:keywords/>
  <dc:description/>
  <cp:lastModifiedBy>Danette McCarthy</cp:lastModifiedBy>
  <cp:revision>4</cp:revision>
  <cp:lastPrinted>2021-08-01T01:44:00Z</cp:lastPrinted>
  <dcterms:created xsi:type="dcterms:W3CDTF">2021-08-01T02:05:00Z</dcterms:created>
  <dcterms:modified xsi:type="dcterms:W3CDTF">2021-08-01T02:11:00Z</dcterms:modified>
</cp:coreProperties>
</file>